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29266191" w14:textId="7BDCDD11" w:rsidR="00F472FA" w:rsidRPr="006D05A4" w:rsidRDefault="002870C5" w:rsidP="00F472FA">
          <w:pPr>
            <w:jc w:val="left"/>
            <w:rPr>
              <w:b/>
              <w:bCs/>
              <w:i/>
              <w:iCs/>
              <w:color w:val="FFFFFF" w:themeColor="background1"/>
              <w:szCs w:val="28"/>
              <w:lang w:eastAsia="fr-FR"/>
            </w:rPr>
          </w:pPr>
          <w:r w:rsidRPr="006D05A4">
            <w:rPr>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6319C305" wp14:editId="53BDBFF5">
                    <wp:simplePos x="0" y="0"/>
                    <wp:positionH relativeFrom="column">
                      <wp:posOffset>-899160</wp:posOffset>
                    </wp:positionH>
                    <wp:positionV relativeFrom="paragraph">
                      <wp:posOffset>-914400</wp:posOffset>
                    </wp:positionV>
                    <wp:extent cx="15260955" cy="10704195"/>
                    <wp:effectExtent l="0" t="0" r="17145" b="20955"/>
                    <wp:wrapNone/>
                    <wp:docPr id="1535828955" name="Rectangle 4"/>
                    <wp:cNvGraphicFramePr/>
                    <a:graphic xmlns:a="http://schemas.openxmlformats.org/drawingml/2006/main">
                      <a:graphicData uri="http://schemas.microsoft.com/office/word/2010/wordprocessingShape">
                        <wps:wsp>
                          <wps:cNvSpPr/>
                          <wps:spPr>
                            <a:xfrm>
                              <a:off x="0" y="0"/>
                              <a:ext cx="15260955" cy="10704195"/>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ADCBEF" id="Rectangle 4" o:spid="_x0000_s1026" style="position:absolute;margin-left:-70.8pt;margin-top:-1in;width:1201.65pt;height:842.8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" fillcolor="#2f5496 [2404]" strokecolor="#09101d [484]" strokeweight="1pt"/>
                </w:pict>
              </mc:Fallback>
            </mc:AlternateContent>
          </w:r>
          <w:r w:rsidR="00F472FA" w:rsidRPr="006D05A4">
            <w:rPr>
              <w:b/>
              <w:bCs/>
              <w:i/>
              <w:iCs/>
              <w:color w:val="FFFFFF" w:themeColor="background1"/>
              <w:szCs w:val="28"/>
              <w:lang w:eastAsia="fr-FR"/>
            </w:rPr>
            <w:t>Module 1 : Audit de la situation juridique des personnes et des biens et stratégies patrimoniales civiles</w:t>
          </w:r>
        </w:p>
        <w:p w14:paraId="5A0009F5" w14:textId="77777777" w:rsidR="00E32DF8" w:rsidRPr="00C21566" w:rsidRDefault="00E32DF8" w:rsidP="00E32DF8">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730D0C01" w14:textId="1E0A8E53" w:rsidR="00F472FA" w:rsidRDefault="00E32DF8" w:rsidP="00F472FA">
          <w:pPr>
            <w:jc w:val="left"/>
            <w:rPr>
              <w:b/>
              <w:bCs/>
              <w:szCs w:val="28"/>
              <w:lang w:eastAsia="fr-FR"/>
            </w:rPr>
          </w:pPr>
          <w:r>
            <w:rPr>
              <w:b/>
              <w:bCs/>
              <w:szCs w:val="28"/>
              <w:lang w:eastAsia="fr-FR"/>
            </w:rPr>
            <w:t xml:space="preserve"> </w:t>
          </w:r>
        </w:p>
        <w:p w14:paraId="4D37AB64" w14:textId="77777777" w:rsidR="00F472FA" w:rsidRDefault="00F472FA" w:rsidP="00F472FA">
          <w:pPr>
            <w:jc w:val="left"/>
            <w:rPr>
              <w:b/>
              <w:bCs/>
              <w:szCs w:val="28"/>
              <w:lang w:eastAsia="fr-FR"/>
            </w:rPr>
          </w:pPr>
        </w:p>
        <w:p w14:paraId="65EDD886" w14:textId="77777777" w:rsidR="00F472FA" w:rsidRDefault="00F472FA" w:rsidP="00F472FA">
          <w:pPr>
            <w:jc w:val="left"/>
            <w:rPr>
              <w:b/>
              <w:bCs/>
              <w:szCs w:val="28"/>
              <w:lang w:eastAsia="fr-FR"/>
            </w:rPr>
          </w:pPr>
        </w:p>
        <w:p w14:paraId="22DDFFC4" w14:textId="77777777" w:rsidR="00F472FA" w:rsidRDefault="00F472FA" w:rsidP="00F472FA">
          <w:pPr>
            <w:jc w:val="left"/>
            <w:rPr>
              <w:b/>
              <w:bCs/>
              <w:szCs w:val="28"/>
              <w:lang w:eastAsia="fr-FR"/>
            </w:rPr>
          </w:pPr>
        </w:p>
        <w:p w14:paraId="3FA89A81" w14:textId="77777777" w:rsidR="00F472FA" w:rsidRDefault="00F472FA" w:rsidP="00F472FA">
          <w:pPr>
            <w:jc w:val="left"/>
            <w:rPr>
              <w:b/>
              <w:bCs/>
              <w:szCs w:val="28"/>
              <w:lang w:eastAsia="fr-FR"/>
            </w:rPr>
          </w:pPr>
        </w:p>
        <w:p w14:paraId="151349D8" w14:textId="77777777" w:rsidR="00F472FA" w:rsidRDefault="00F472FA" w:rsidP="00F472FA">
          <w:pPr>
            <w:jc w:val="left"/>
            <w:rPr>
              <w:b/>
              <w:bCs/>
              <w:szCs w:val="28"/>
              <w:lang w:eastAsia="fr-FR"/>
            </w:rPr>
          </w:pPr>
        </w:p>
        <w:p w14:paraId="6E4FEEDB" w14:textId="77777777" w:rsidR="00F472FA" w:rsidRDefault="00F472FA" w:rsidP="00F472FA">
          <w:pPr>
            <w:jc w:val="left"/>
            <w:rPr>
              <w:b/>
              <w:bCs/>
              <w:szCs w:val="28"/>
              <w:lang w:eastAsia="fr-FR"/>
            </w:rPr>
          </w:pPr>
        </w:p>
        <w:p w14:paraId="765037FC" w14:textId="77777777" w:rsidR="00F472FA" w:rsidRDefault="00F472FA" w:rsidP="00F472FA">
          <w:pPr>
            <w:jc w:val="left"/>
            <w:rPr>
              <w:b/>
              <w:bCs/>
              <w:szCs w:val="28"/>
              <w:lang w:eastAsia="fr-FR"/>
            </w:rPr>
          </w:pPr>
        </w:p>
        <w:p w14:paraId="43E30A0D" w14:textId="0B8B33D5" w:rsidR="00677448" w:rsidRDefault="00F472FA" w:rsidP="00F472FA">
          <w:pPr>
            <w:jc w:val="left"/>
            <w:rPr>
              <w:lang w:eastAsia="fr-FR"/>
            </w:rPr>
          </w:pPr>
          <w:r w:rsidRPr="006D05A4">
            <w:rPr>
              <w:b/>
              <w:bCs/>
              <w:color w:val="FFFFFF" w:themeColor="background1"/>
              <w:sz w:val="60"/>
              <w:szCs w:val="60"/>
              <w:lang w:eastAsia="fr-FR"/>
            </w:rPr>
            <w:t>Chapitre 2 : De la protection du concubin</w:t>
          </w:r>
          <w:r w:rsidRPr="006D05A4">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64A4D788" w14:textId="47171EB0" w:rsidR="00CB7712" w:rsidRDefault="002544B4">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"1-4" \h \z \u </w:instrText>
          </w:r>
          <w:r>
            <w:fldChar w:fldCharType="separate"/>
          </w:r>
          <w:hyperlink w:anchor="_Toc185433823" w:history="1">
            <w:r w:rsidR="00CB7712" w:rsidRPr="003E59EC">
              <w:rPr>
                <w:rStyle w:val="Lienhypertexte"/>
                <w:noProof/>
              </w:rPr>
              <w:t>I.</w:t>
            </w:r>
            <w:r w:rsidR="00CB7712">
              <w:rPr>
                <w:rFonts w:asciiTheme="minorHAnsi" w:eastAsiaTheme="minorEastAsia" w:hAnsiTheme="minorHAnsi"/>
                <w:noProof/>
                <w:kern w:val="2"/>
                <w:sz w:val="24"/>
                <w:szCs w:val="24"/>
                <w:lang w:val="en-US"/>
                <w14:ligatures w14:val="standardContextual"/>
              </w:rPr>
              <w:tab/>
            </w:r>
            <w:r w:rsidR="00CB7712" w:rsidRPr="003E59EC">
              <w:rPr>
                <w:rStyle w:val="Lienhypertexte"/>
                <w:noProof/>
              </w:rPr>
              <w:t>Un bail conjoint pour le logement</w:t>
            </w:r>
            <w:r w:rsidR="00CB7712">
              <w:rPr>
                <w:noProof/>
                <w:webHidden/>
              </w:rPr>
              <w:tab/>
            </w:r>
            <w:r w:rsidR="00CB7712">
              <w:rPr>
                <w:noProof/>
                <w:webHidden/>
              </w:rPr>
              <w:fldChar w:fldCharType="begin"/>
            </w:r>
            <w:r w:rsidR="00CB7712">
              <w:rPr>
                <w:noProof/>
                <w:webHidden/>
              </w:rPr>
              <w:instrText xml:space="preserve"> PAGEREF _Toc185433823 \h </w:instrText>
            </w:r>
            <w:r w:rsidR="00CB7712">
              <w:rPr>
                <w:noProof/>
                <w:webHidden/>
              </w:rPr>
            </w:r>
            <w:r w:rsidR="00CB7712">
              <w:rPr>
                <w:noProof/>
                <w:webHidden/>
              </w:rPr>
              <w:fldChar w:fldCharType="separate"/>
            </w:r>
            <w:r w:rsidR="00CB7712">
              <w:rPr>
                <w:noProof/>
                <w:webHidden/>
              </w:rPr>
              <w:t>2</w:t>
            </w:r>
            <w:r w:rsidR="00CB7712">
              <w:rPr>
                <w:noProof/>
                <w:webHidden/>
              </w:rPr>
              <w:fldChar w:fldCharType="end"/>
            </w:r>
          </w:hyperlink>
        </w:p>
        <w:p w14:paraId="22ED71D2" w14:textId="0979C00C"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24" w:history="1">
            <w:r w:rsidRPr="003E59EC">
              <w:rPr>
                <w:rStyle w:val="Lienhypertexte"/>
                <w:noProof/>
              </w:rPr>
              <w:t>1.</w:t>
            </w:r>
            <w:r>
              <w:rPr>
                <w:rFonts w:asciiTheme="minorHAnsi" w:eastAsiaTheme="minorEastAsia" w:hAnsiTheme="minorHAnsi"/>
                <w:noProof/>
                <w:kern w:val="2"/>
                <w:sz w:val="24"/>
                <w:szCs w:val="24"/>
                <w:lang w:val="en-US"/>
                <w14:ligatures w14:val="standardContextual"/>
              </w:rPr>
              <w:tab/>
            </w:r>
            <w:r w:rsidRPr="003E59EC">
              <w:rPr>
                <w:rStyle w:val="Lienhypertexte"/>
                <w:noProof/>
              </w:rPr>
              <w:t>En cas de location du logement commun par un seul concubin</w:t>
            </w:r>
            <w:r>
              <w:rPr>
                <w:noProof/>
                <w:webHidden/>
              </w:rPr>
              <w:tab/>
            </w:r>
            <w:r>
              <w:rPr>
                <w:noProof/>
                <w:webHidden/>
              </w:rPr>
              <w:fldChar w:fldCharType="begin"/>
            </w:r>
            <w:r>
              <w:rPr>
                <w:noProof/>
                <w:webHidden/>
              </w:rPr>
              <w:instrText xml:space="preserve"> PAGEREF _Toc185433824 \h </w:instrText>
            </w:r>
            <w:r>
              <w:rPr>
                <w:noProof/>
                <w:webHidden/>
              </w:rPr>
            </w:r>
            <w:r>
              <w:rPr>
                <w:noProof/>
                <w:webHidden/>
              </w:rPr>
              <w:fldChar w:fldCharType="separate"/>
            </w:r>
            <w:r>
              <w:rPr>
                <w:noProof/>
                <w:webHidden/>
              </w:rPr>
              <w:t>4</w:t>
            </w:r>
            <w:r>
              <w:rPr>
                <w:noProof/>
                <w:webHidden/>
              </w:rPr>
              <w:fldChar w:fldCharType="end"/>
            </w:r>
          </w:hyperlink>
        </w:p>
        <w:p w14:paraId="0A3450F8" w14:textId="64263578"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25" w:history="1">
            <w:r w:rsidRPr="003E59EC">
              <w:rPr>
                <w:rStyle w:val="Lienhypertexte"/>
                <w:noProof/>
              </w:rPr>
              <w:t>2.</w:t>
            </w:r>
            <w:r>
              <w:rPr>
                <w:rFonts w:asciiTheme="minorHAnsi" w:eastAsiaTheme="minorEastAsia" w:hAnsiTheme="minorHAnsi"/>
                <w:noProof/>
                <w:kern w:val="2"/>
                <w:sz w:val="24"/>
                <w:szCs w:val="24"/>
                <w:lang w:val="en-US"/>
                <w14:ligatures w14:val="standardContextual"/>
              </w:rPr>
              <w:tab/>
            </w:r>
            <w:r w:rsidRPr="003E59EC">
              <w:rPr>
                <w:rStyle w:val="Lienhypertexte"/>
                <w:noProof/>
              </w:rPr>
              <w:t>En cas de location avec une co-titularité du bail</w:t>
            </w:r>
            <w:r>
              <w:rPr>
                <w:noProof/>
                <w:webHidden/>
              </w:rPr>
              <w:tab/>
            </w:r>
            <w:r>
              <w:rPr>
                <w:noProof/>
                <w:webHidden/>
              </w:rPr>
              <w:fldChar w:fldCharType="begin"/>
            </w:r>
            <w:r>
              <w:rPr>
                <w:noProof/>
                <w:webHidden/>
              </w:rPr>
              <w:instrText xml:space="preserve"> PAGEREF _Toc185433825 \h </w:instrText>
            </w:r>
            <w:r>
              <w:rPr>
                <w:noProof/>
                <w:webHidden/>
              </w:rPr>
            </w:r>
            <w:r>
              <w:rPr>
                <w:noProof/>
                <w:webHidden/>
              </w:rPr>
              <w:fldChar w:fldCharType="separate"/>
            </w:r>
            <w:r>
              <w:rPr>
                <w:noProof/>
                <w:webHidden/>
              </w:rPr>
              <w:t>4</w:t>
            </w:r>
            <w:r>
              <w:rPr>
                <w:noProof/>
                <w:webHidden/>
              </w:rPr>
              <w:fldChar w:fldCharType="end"/>
            </w:r>
          </w:hyperlink>
        </w:p>
        <w:p w14:paraId="1412FF1B" w14:textId="69DD29CB"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26" w:history="1">
            <w:r w:rsidRPr="003E59EC">
              <w:rPr>
                <w:rStyle w:val="Lienhypertexte"/>
                <w:noProof/>
              </w:rPr>
              <w:t>3.</w:t>
            </w:r>
            <w:r>
              <w:rPr>
                <w:rFonts w:asciiTheme="minorHAnsi" w:eastAsiaTheme="minorEastAsia" w:hAnsiTheme="minorHAnsi"/>
                <w:noProof/>
                <w:kern w:val="2"/>
                <w:sz w:val="24"/>
                <w:szCs w:val="24"/>
                <w:lang w:val="en-US"/>
                <w14:ligatures w14:val="standardContextual"/>
              </w:rPr>
              <w:tab/>
            </w:r>
            <w:r w:rsidRPr="003E59EC">
              <w:rPr>
                <w:rStyle w:val="Lienhypertexte"/>
                <w:noProof/>
              </w:rPr>
              <w:t>En cas d’occupation d’un logement dont un seul est propriétaire</w:t>
            </w:r>
            <w:r>
              <w:rPr>
                <w:noProof/>
                <w:webHidden/>
              </w:rPr>
              <w:tab/>
            </w:r>
            <w:r>
              <w:rPr>
                <w:noProof/>
                <w:webHidden/>
              </w:rPr>
              <w:fldChar w:fldCharType="begin"/>
            </w:r>
            <w:r>
              <w:rPr>
                <w:noProof/>
                <w:webHidden/>
              </w:rPr>
              <w:instrText xml:space="preserve"> PAGEREF _Toc185433826 \h </w:instrText>
            </w:r>
            <w:r>
              <w:rPr>
                <w:noProof/>
                <w:webHidden/>
              </w:rPr>
            </w:r>
            <w:r>
              <w:rPr>
                <w:noProof/>
                <w:webHidden/>
              </w:rPr>
              <w:fldChar w:fldCharType="separate"/>
            </w:r>
            <w:r>
              <w:rPr>
                <w:noProof/>
                <w:webHidden/>
              </w:rPr>
              <w:t>4</w:t>
            </w:r>
            <w:r>
              <w:rPr>
                <w:noProof/>
                <w:webHidden/>
              </w:rPr>
              <w:fldChar w:fldCharType="end"/>
            </w:r>
          </w:hyperlink>
        </w:p>
        <w:p w14:paraId="37D16D73" w14:textId="4EC4B13A" w:rsidR="00CB7712" w:rsidRDefault="00CB771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433827" w:history="1">
            <w:r w:rsidRPr="003E59EC">
              <w:rPr>
                <w:rStyle w:val="Lienhypertexte"/>
                <w:noProof/>
              </w:rPr>
              <w:t>II.</w:t>
            </w:r>
            <w:r>
              <w:rPr>
                <w:rFonts w:asciiTheme="minorHAnsi" w:eastAsiaTheme="minorEastAsia" w:hAnsiTheme="minorHAnsi"/>
                <w:noProof/>
                <w:kern w:val="2"/>
                <w:sz w:val="24"/>
                <w:szCs w:val="24"/>
                <w:lang w:val="en-US"/>
                <w14:ligatures w14:val="standardContextual"/>
              </w:rPr>
              <w:tab/>
            </w:r>
            <w:r w:rsidRPr="003E59EC">
              <w:rPr>
                <w:rStyle w:val="Lienhypertexte"/>
                <w:noProof/>
              </w:rPr>
              <w:t>Acquisition d’un bien immobilier : Indivision, SCI, pacte tontinier</w:t>
            </w:r>
            <w:r>
              <w:rPr>
                <w:noProof/>
                <w:webHidden/>
              </w:rPr>
              <w:tab/>
            </w:r>
            <w:r>
              <w:rPr>
                <w:noProof/>
                <w:webHidden/>
              </w:rPr>
              <w:fldChar w:fldCharType="begin"/>
            </w:r>
            <w:r>
              <w:rPr>
                <w:noProof/>
                <w:webHidden/>
              </w:rPr>
              <w:instrText xml:space="preserve"> PAGEREF _Toc185433827 \h </w:instrText>
            </w:r>
            <w:r>
              <w:rPr>
                <w:noProof/>
                <w:webHidden/>
              </w:rPr>
            </w:r>
            <w:r>
              <w:rPr>
                <w:noProof/>
                <w:webHidden/>
              </w:rPr>
              <w:fldChar w:fldCharType="separate"/>
            </w:r>
            <w:r>
              <w:rPr>
                <w:noProof/>
                <w:webHidden/>
              </w:rPr>
              <w:t>5</w:t>
            </w:r>
            <w:r>
              <w:rPr>
                <w:noProof/>
                <w:webHidden/>
              </w:rPr>
              <w:fldChar w:fldCharType="end"/>
            </w:r>
          </w:hyperlink>
        </w:p>
        <w:p w14:paraId="7860A8EB" w14:textId="56F0ABA8"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28" w:history="1">
            <w:r w:rsidRPr="003E59EC">
              <w:rPr>
                <w:rStyle w:val="Lienhypertexte"/>
                <w:noProof/>
              </w:rPr>
              <w:t>1.</w:t>
            </w:r>
            <w:r>
              <w:rPr>
                <w:rFonts w:asciiTheme="minorHAnsi" w:eastAsiaTheme="minorEastAsia" w:hAnsiTheme="minorHAnsi"/>
                <w:noProof/>
                <w:kern w:val="2"/>
                <w:sz w:val="24"/>
                <w:szCs w:val="24"/>
                <w:lang w:val="en-US"/>
                <w14:ligatures w14:val="standardContextual"/>
              </w:rPr>
              <w:tab/>
            </w:r>
            <w:r w:rsidRPr="003E59EC">
              <w:rPr>
                <w:rStyle w:val="Lienhypertexte"/>
                <w:noProof/>
                <w:shd w:val="clear" w:color="auto" w:fill="FFFFFF"/>
              </w:rPr>
              <w:t>L’acquisition en indivision</w:t>
            </w:r>
            <w:r>
              <w:rPr>
                <w:noProof/>
                <w:webHidden/>
              </w:rPr>
              <w:tab/>
            </w:r>
            <w:r>
              <w:rPr>
                <w:noProof/>
                <w:webHidden/>
              </w:rPr>
              <w:fldChar w:fldCharType="begin"/>
            </w:r>
            <w:r>
              <w:rPr>
                <w:noProof/>
                <w:webHidden/>
              </w:rPr>
              <w:instrText xml:space="preserve"> PAGEREF _Toc185433828 \h </w:instrText>
            </w:r>
            <w:r>
              <w:rPr>
                <w:noProof/>
                <w:webHidden/>
              </w:rPr>
            </w:r>
            <w:r>
              <w:rPr>
                <w:noProof/>
                <w:webHidden/>
              </w:rPr>
              <w:fldChar w:fldCharType="separate"/>
            </w:r>
            <w:r>
              <w:rPr>
                <w:noProof/>
                <w:webHidden/>
              </w:rPr>
              <w:t>7</w:t>
            </w:r>
            <w:r>
              <w:rPr>
                <w:noProof/>
                <w:webHidden/>
              </w:rPr>
              <w:fldChar w:fldCharType="end"/>
            </w:r>
          </w:hyperlink>
        </w:p>
        <w:p w14:paraId="2F3D3EE7" w14:textId="6DC52994"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29" w:history="1">
            <w:r w:rsidRPr="003E59EC">
              <w:rPr>
                <w:rStyle w:val="Lienhypertexte"/>
                <w:noProof/>
              </w:rPr>
              <w:t>2.</w:t>
            </w:r>
            <w:r>
              <w:rPr>
                <w:rFonts w:asciiTheme="minorHAnsi" w:eastAsiaTheme="minorEastAsia" w:hAnsiTheme="minorHAnsi"/>
                <w:noProof/>
                <w:kern w:val="2"/>
                <w:sz w:val="24"/>
                <w:szCs w:val="24"/>
                <w:lang w:val="en-US"/>
                <w14:ligatures w14:val="standardContextual"/>
              </w:rPr>
              <w:tab/>
            </w:r>
            <w:r w:rsidRPr="003E59EC">
              <w:rPr>
                <w:rStyle w:val="Lienhypertexte"/>
                <w:noProof/>
              </w:rPr>
              <w:t>L’acquisition via une société civile</w:t>
            </w:r>
            <w:r>
              <w:rPr>
                <w:noProof/>
                <w:webHidden/>
              </w:rPr>
              <w:tab/>
            </w:r>
            <w:r>
              <w:rPr>
                <w:noProof/>
                <w:webHidden/>
              </w:rPr>
              <w:fldChar w:fldCharType="begin"/>
            </w:r>
            <w:r>
              <w:rPr>
                <w:noProof/>
                <w:webHidden/>
              </w:rPr>
              <w:instrText xml:space="preserve"> PAGEREF _Toc185433829 \h </w:instrText>
            </w:r>
            <w:r>
              <w:rPr>
                <w:noProof/>
                <w:webHidden/>
              </w:rPr>
            </w:r>
            <w:r>
              <w:rPr>
                <w:noProof/>
                <w:webHidden/>
              </w:rPr>
              <w:fldChar w:fldCharType="separate"/>
            </w:r>
            <w:r>
              <w:rPr>
                <w:noProof/>
                <w:webHidden/>
              </w:rPr>
              <w:t>7</w:t>
            </w:r>
            <w:r>
              <w:rPr>
                <w:noProof/>
                <w:webHidden/>
              </w:rPr>
              <w:fldChar w:fldCharType="end"/>
            </w:r>
          </w:hyperlink>
        </w:p>
        <w:p w14:paraId="5BA2DD63" w14:textId="27B5F076" w:rsidR="00CB7712" w:rsidRDefault="00CB771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33830" w:history="1">
            <w:r w:rsidRPr="003E59EC">
              <w:rPr>
                <w:rStyle w:val="Lienhypertexte"/>
                <w:noProof/>
              </w:rPr>
              <w:t>III.</w:t>
            </w:r>
            <w:r>
              <w:rPr>
                <w:rFonts w:asciiTheme="minorHAnsi" w:eastAsiaTheme="minorEastAsia" w:hAnsiTheme="minorHAnsi"/>
                <w:noProof/>
                <w:kern w:val="2"/>
                <w:sz w:val="24"/>
                <w:szCs w:val="24"/>
                <w:lang w:val="en-US"/>
                <w14:ligatures w14:val="standardContextual"/>
              </w:rPr>
              <w:tab/>
            </w:r>
            <w:r w:rsidRPr="003E59EC">
              <w:rPr>
                <w:rStyle w:val="Lienhypertexte"/>
                <w:noProof/>
              </w:rPr>
              <w:t>Dispositions à cause de décès</w:t>
            </w:r>
            <w:r>
              <w:rPr>
                <w:noProof/>
                <w:webHidden/>
              </w:rPr>
              <w:tab/>
            </w:r>
            <w:r>
              <w:rPr>
                <w:noProof/>
                <w:webHidden/>
              </w:rPr>
              <w:fldChar w:fldCharType="begin"/>
            </w:r>
            <w:r>
              <w:rPr>
                <w:noProof/>
                <w:webHidden/>
              </w:rPr>
              <w:instrText xml:space="preserve"> PAGEREF _Toc185433830 \h </w:instrText>
            </w:r>
            <w:r>
              <w:rPr>
                <w:noProof/>
                <w:webHidden/>
              </w:rPr>
            </w:r>
            <w:r>
              <w:rPr>
                <w:noProof/>
                <w:webHidden/>
              </w:rPr>
              <w:fldChar w:fldCharType="separate"/>
            </w:r>
            <w:r>
              <w:rPr>
                <w:noProof/>
                <w:webHidden/>
              </w:rPr>
              <w:t>9</w:t>
            </w:r>
            <w:r>
              <w:rPr>
                <w:noProof/>
                <w:webHidden/>
              </w:rPr>
              <w:fldChar w:fldCharType="end"/>
            </w:r>
          </w:hyperlink>
        </w:p>
        <w:p w14:paraId="12140505" w14:textId="2CE0C1F5"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31" w:history="1">
            <w:r w:rsidRPr="003E59EC">
              <w:rPr>
                <w:rStyle w:val="Lienhypertexte"/>
                <w:noProof/>
              </w:rPr>
              <w:t>1.</w:t>
            </w:r>
            <w:r>
              <w:rPr>
                <w:rFonts w:asciiTheme="minorHAnsi" w:eastAsiaTheme="minorEastAsia" w:hAnsiTheme="minorHAnsi"/>
                <w:noProof/>
                <w:kern w:val="2"/>
                <w:sz w:val="24"/>
                <w:szCs w:val="24"/>
                <w:lang w:val="en-US"/>
                <w14:ligatures w14:val="standardContextual"/>
              </w:rPr>
              <w:tab/>
            </w:r>
            <w:r w:rsidRPr="003E59EC">
              <w:rPr>
                <w:rStyle w:val="Lienhypertexte"/>
                <w:noProof/>
              </w:rPr>
              <w:t>Le testament</w:t>
            </w:r>
            <w:r>
              <w:rPr>
                <w:noProof/>
                <w:webHidden/>
              </w:rPr>
              <w:tab/>
            </w:r>
            <w:r>
              <w:rPr>
                <w:noProof/>
                <w:webHidden/>
              </w:rPr>
              <w:fldChar w:fldCharType="begin"/>
            </w:r>
            <w:r>
              <w:rPr>
                <w:noProof/>
                <w:webHidden/>
              </w:rPr>
              <w:instrText xml:space="preserve"> PAGEREF _Toc185433831 \h </w:instrText>
            </w:r>
            <w:r>
              <w:rPr>
                <w:noProof/>
                <w:webHidden/>
              </w:rPr>
            </w:r>
            <w:r>
              <w:rPr>
                <w:noProof/>
                <w:webHidden/>
              </w:rPr>
              <w:fldChar w:fldCharType="separate"/>
            </w:r>
            <w:r>
              <w:rPr>
                <w:noProof/>
                <w:webHidden/>
              </w:rPr>
              <w:t>11</w:t>
            </w:r>
            <w:r>
              <w:rPr>
                <w:noProof/>
                <w:webHidden/>
              </w:rPr>
              <w:fldChar w:fldCharType="end"/>
            </w:r>
          </w:hyperlink>
        </w:p>
        <w:p w14:paraId="2511536E" w14:textId="119F2C42"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32" w:history="1">
            <w:r w:rsidRPr="003E59EC">
              <w:rPr>
                <w:rStyle w:val="Lienhypertexte"/>
                <w:noProof/>
              </w:rPr>
              <w:t>2.</w:t>
            </w:r>
            <w:r>
              <w:rPr>
                <w:rFonts w:asciiTheme="minorHAnsi" w:eastAsiaTheme="minorEastAsia" w:hAnsiTheme="minorHAnsi"/>
                <w:noProof/>
                <w:kern w:val="2"/>
                <w:sz w:val="24"/>
                <w:szCs w:val="24"/>
                <w:lang w:val="en-US"/>
                <w14:ligatures w14:val="standardContextual"/>
              </w:rPr>
              <w:tab/>
            </w:r>
            <w:r w:rsidRPr="003E59EC">
              <w:rPr>
                <w:rStyle w:val="Lienhypertexte"/>
                <w:noProof/>
              </w:rPr>
              <w:t>Les clauses bénéficiaires croisées en assurance vie</w:t>
            </w:r>
            <w:r>
              <w:rPr>
                <w:noProof/>
                <w:webHidden/>
              </w:rPr>
              <w:tab/>
            </w:r>
            <w:r>
              <w:rPr>
                <w:noProof/>
                <w:webHidden/>
              </w:rPr>
              <w:fldChar w:fldCharType="begin"/>
            </w:r>
            <w:r>
              <w:rPr>
                <w:noProof/>
                <w:webHidden/>
              </w:rPr>
              <w:instrText xml:space="preserve"> PAGEREF _Toc185433832 \h </w:instrText>
            </w:r>
            <w:r>
              <w:rPr>
                <w:noProof/>
                <w:webHidden/>
              </w:rPr>
            </w:r>
            <w:r>
              <w:rPr>
                <w:noProof/>
                <w:webHidden/>
              </w:rPr>
              <w:fldChar w:fldCharType="separate"/>
            </w:r>
            <w:r>
              <w:rPr>
                <w:noProof/>
                <w:webHidden/>
              </w:rPr>
              <w:t>11</w:t>
            </w:r>
            <w:r>
              <w:rPr>
                <w:noProof/>
                <w:webHidden/>
              </w:rPr>
              <w:fldChar w:fldCharType="end"/>
            </w:r>
          </w:hyperlink>
        </w:p>
        <w:p w14:paraId="24BA68CC" w14:textId="35527DE5" w:rsidR="00CB7712" w:rsidRDefault="00CB7712">
          <w:pPr>
            <w:pStyle w:val="TM3"/>
            <w:rPr>
              <w:rFonts w:asciiTheme="minorHAnsi" w:eastAsiaTheme="minorEastAsia" w:hAnsiTheme="minorHAnsi"/>
              <w:noProof/>
              <w:kern w:val="2"/>
              <w:sz w:val="24"/>
              <w:szCs w:val="24"/>
              <w:lang w:val="en-US"/>
              <w14:ligatures w14:val="standardContextual"/>
            </w:rPr>
          </w:pPr>
          <w:hyperlink w:anchor="_Toc185433833" w:history="1">
            <w:r w:rsidRPr="003E59EC">
              <w:rPr>
                <w:rStyle w:val="Lienhypertexte"/>
                <w:noProof/>
              </w:rPr>
              <w:t>3.</w:t>
            </w:r>
            <w:r>
              <w:rPr>
                <w:rFonts w:asciiTheme="minorHAnsi" w:eastAsiaTheme="minorEastAsia" w:hAnsiTheme="minorHAnsi"/>
                <w:noProof/>
                <w:kern w:val="2"/>
                <w:sz w:val="24"/>
                <w:szCs w:val="24"/>
                <w:lang w:val="en-US"/>
                <w14:ligatures w14:val="standardContextual"/>
              </w:rPr>
              <w:tab/>
            </w:r>
            <w:r w:rsidRPr="003E59EC">
              <w:rPr>
                <w:rStyle w:val="Lienhypertexte"/>
                <w:noProof/>
              </w:rPr>
              <w:t>L’assurance décès</w:t>
            </w:r>
            <w:r>
              <w:rPr>
                <w:noProof/>
                <w:webHidden/>
              </w:rPr>
              <w:tab/>
            </w:r>
            <w:r>
              <w:rPr>
                <w:noProof/>
                <w:webHidden/>
              </w:rPr>
              <w:fldChar w:fldCharType="begin"/>
            </w:r>
            <w:r>
              <w:rPr>
                <w:noProof/>
                <w:webHidden/>
              </w:rPr>
              <w:instrText xml:space="preserve"> PAGEREF _Toc185433833 \h </w:instrText>
            </w:r>
            <w:r>
              <w:rPr>
                <w:noProof/>
                <w:webHidden/>
              </w:rPr>
            </w:r>
            <w:r>
              <w:rPr>
                <w:noProof/>
                <w:webHidden/>
              </w:rPr>
              <w:fldChar w:fldCharType="separate"/>
            </w:r>
            <w:r>
              <w:rPr>
                <w:noProof/>
                <w:webHidden/>
              </w:rPr>
              <w:t>11</w:t>
            </w:r>
            <w:r>
              <w:rPr>
                <w:noProof/>
                <w:webHidden/>
              </w:rPr>
              <w:fldChar w:fldCharType="end"/>
            </w:r>
          </w:hyperlink>
        </w:p>
        <w:p w14:paraId="76D52D41" w14:textId="1E5318AD" w:rsidR="00B8067C" w:rsidRDefault="002544B4">
          <w:r>
            <w:fldChar w:fldCharType="end"/>
          </w:r>
        </w:p>
      </w:sdtContent>
    </w:sdt>
    <w:p w14:paraId="195FC356" w14:textId="15EB170F" w:rsidR="00B8067C" w:rsidRDefault="00B8067C"/>
    <w:p w14:paraId="342AAE40" w14:textId="77777777" w:rsidR="005466DD" w:rsidRDefault="00B42117" w:rsidP="005466DD">
      <w:pPr>
        <w:rPr>
          <w:rFonts w:eastAsia="Times New Roman"/>
          <w:color w:val="2F5496" w:themeColor="accent1" w:themeShade="BF"/>
          <w:lang w:eastAsia="fr-FR"/>
        </w:rPr>
      </w:pPr>
      <w:r>
        <w:rPr>
          <w:rFonts w:eastAsia="Times New Roman"/>
          <w:color w:val="2F5496" w:themeColor="accent1" w:themeShade="BF"/>
          <w:lang w:eastAsia="fr-FR"/>
        </w:rPr>
        <w:br w:type="page"/>
      </w:r>
      <w:bookmarkStart w:id="0" w:name="_Toc155948107"/>
    </w:p>
    <w:p w14:paraId="0D77F740" w14:textId="51EA95FF" w:rsidR="005466DD" w:rsidRDefault="006D05A4" w:rsidP="005466DD">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0288" behindDoc="1" locked="0" layoutInCell="1" allowOverlap="1" wp14:anchorId="2F8928EF" wp14:editId="7C47A33E">
                <wp:simplePos x="0" y="0"/>
                <wp:positionH relativeFrom="column">
                  <wp:posOffset>-1324303</wp:posOffset>
                </wp:positionH>
                <wp:positionV relativeFrom="paragraph">
                  <wp:posOffset>-914400</wp:posOffset>
                </wp:positionV>
                <wp:extent cx="15843994" cy="10736317"/>
                <wp:effectExtent l="0" t="0" r="24765" b="27305"/>
                <wp:wrapNone/>
                <wp:docPr id="1855233786" name="Rectangle 5"/>
                <wp:cNvGraphicFramePr/>
                <a:graphic xmlns:a="http://schemas.openxmlformats.org/drawingml/2006/main">
                  <a:graphicData uri="http://schemas.microsoft.com/office/word/2010/wordprocessingShape">
                    <wps:wsp>
                      <wps:cNvSpPr/>
                      <wps:spPr>
                        <a:xfrm>
                          <a:off x="0" y="0"/>
                          <a:ext cx="15843994" cy="10736317"/>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CEAF0E" id="Rectangle 5" o:spid="_x0000_s1026" style="position:absolute;margin-left:-104.3pt;margin-top:-1in;width:1247.55pt;height:845.4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" fillcolor="#2f5496 [2404]" strokecolor="#09101d [484]" strokeweight="1pt"/>
            </w:pict>
          </mc:Fallback>
        </mc:AlternateContent>
      </w:r>
    </w:p>
    <w:p w14:paraId="311107FE" w14:textId="77777777" w:rsidR="005466DD" w:rsidRDefault="005466DD" w:rsidP="005466DD">
      <w:pPr>
        <w:rPr>
          <w:rFonts w:eastAsia="Times New Roman"/>
          <w:color w:val="2F5496" w:themeColor="accent1" w:themeShade="BF"/>
          <w:lang w:eastAsia="fr-FR"/>
        </w:rPr>
      </w:pPr>
    </w:p>
    <w:p w14:paraId="58214165" w14:textId="77777777" w:rsidR="005466DD" w:rsidRDefault="005466DD" w:rsidP="005466DD">
      <w:pPr>
        <w:rPr>
          <w:rFonts w:eastAsia="Times New Roman"/>
          <w:color w:val="2F5496" w:themeColor="accent1" w:themeShade="BF"/>
          <w:lang w:eastAsia="fr-FR"/>
        </w:rPr>
      </w:pPr>
    </w:p>
    <w:p w14:paraId="59CCC814" w14:textId="77777777" w:rsidR="005466DD" w:rsidRDefault="005466DD" w:rsidP="005466DD">
      <w:pPr>
        <w:rPr>
          <w:rFonts w:eastAsia="Times New Roman"/>
          <w:color w:val="2F5496" w:themeColor="accent1" w:themeShade="BF"/>
          <w:lang w:eastAsia="fr-FR"/>
        </w:rPr>
      </w:pPr>
    </w:p>
    <w:p w14:paraId="33687B42" w14:textId="77777777" w:rsidR="005466DD" w:rsidRDefault="005466DD" w:rsidP="005466DD">
      <w:pPr>
        <w:rPr>
          <w:rFonts w:eastAsia="Times New Roman"/>
          <w:color w:val="2F5496" w:themeColor="accent1" w:themeShade="BF"/>
          <w:lang w:eastAsia="fr-FR"/>
        </w:rPr>
      </w:pPr>
    </w:p>
    <w:p w14:paraId="1537F7EA" w14:textId="77777777" w:rsidR="005466DD" w:rsidRDefault="005466DD" w:rsidP="005466DD">
      <w:pPr>
        <w:rPr>
          <w:rFonts w:eastAsia="Times New Roman"/>
          <w:color w:val="2F5496" w:themeColor="accent1" w:themeShade="BF"/>
          <w:lang w:eastAsia="fr-FR"/>
        </w:rPr>
      </w:pPr>
    </w:p>
    <w:p w14:paraId="56EBBD90" w14:textId="77777777" w:rsidR="005466DD" w:rsidRDefault="005466DD" w:rsidP="005466DD">
      <w:pPr>
        <w:rPr>
          <w:rFonts w:eastAsia="Times New Roman"/>
          <w:color w:val="2F5496" w:themeColor="accent1" w:themeShade="BF"/>
          <w:lang w:eastAsia="fr-FR"/>
        </w:rPr>
      </w:pPr>
    </w:p>
    <w:p w14:paraId="5EE80C15" w14:textId="77777777" w:rsidR="005466DD" w:rsidRDefault="005466DD" w:rsidP="005466DD">
      <w:pPr>
        <w:rPr>
          <w:rFonts w:eastAsia="Times New Roman"/>
          <w:color w:val="2F5496" w:themeColor="accent1" w:themeShade="BF"/>
          <w:lang w:eastAsia="fr-FR"/>
        </w:rPr>
      </w:pPr>
    </w:p>
    <w:p w14:paraId="18DB9C02" w14:textId="77777777" w:rsidR="005466DD" w:rsidRDefault="005466DD" w:rsidP="005466DD">
      <w:pPr>
        <w:rPr>
          <w:rFonts w:eastAsia="Times New Roman"/>
          <w:color w:val="2F5496" w:themeColor="accent1" w:themeShade="BF"/>
          <w:lang w:eastAsia="fr-FR"/>
        </w:rPr>
      </w:pPr>
    </w:p>
    <w:p w14:paraId="6BD96559" w14:textId="77777777" w:rsidR="005466DD" w:rsidRDefault="005466DD" w:rsidP="005466DD">
      <w:pPr>
        <w:rPr>
          <w:rFonts w:eastAsia="Times New Roman"/>
          <w:color w:val="2F5496" w:themeColor="accent1" w:themeShade="BF"/>
          <w:lang w:eastAsia="fr-FR"/>
        </w:rPr>
      </w:pPr>
    </w:p>
    <w:p w14:paraId="618D48FC" w14:textId="77777777" w:rsidR="005466DD" w:rsidRDefault="005466DD" w:rsidP="005466DD">
      <w:pPr>
        <w:rPr>
          <w:rFonts w:eastAsia="Times New Roman"/>
          <w:color w:val="2F5496" w:themeColor="accent1" w:themeShade="BF"/>
          <w:lang w:eastAsia="fr-FR"/>
        </w:rPr>
      </w:pPr>
    </w:p>
    <w:p w14:paraId="208B79FD" w14:textId="77777777" w:rsidR="005466DD" w:rsidRDefault="005466DD" w:rsidP="005466DD">
      <w:pPr>
        <w:rPr>
          <w:rFonts w:eastAsia="Times New Roman"/>
          <w:color w:val="2F5496" w:themeColor="accent1" w:themeShade="BF"/>
          <w:lang w:eastAsia="fr-FR"/>
        </w:rPr>
      </w:pPr>
    </w:p>
    <w:p w14:paraId="6B4F74AF" w14:textId="0435D726" w:rsidR="005466DD" w:rsidRPr="005466DD" w:rsidRDefault="006E6684" w:rsidP="005466DD">
      <w:pPr>
        <w:pStyle w:val="Titre2"/>
      </w:pPr>
      <w:bookmarkStart w:id="1" w:name="_Toc185433823"/>
      <w:r w:rsidRPr="005466DD">
        <w:t>Un b</w:t>
      </w:r>
      <w:r w:rsidR="00552D7D" w:rsidRPr="005466DD">
        <w:t xml:space="preserve">ail conjoint </w:t>
      </w:r>
      <w:r w:rsidRPr="005466DD">
        <w:t>pour le</w:t>
      </w:r>
      <w:r w:rsidR="00552D7D" w:rsidRPr="005466DD">
        <w:t xml:space="preserve"> logement</w:t>
      </w:r>
      <w:bookmarkEnd w:id="0"/>
      <w:bookmarkEnd w:id="1"/>
    </w:p>
    <w:p w14:paraId="24901253" w14:textId="77777777" w:rsidR="005466DD" w:rsidRDefault="005466DD" w:rsidP="005466DD">
      <w:pPr>
        <w:pStyle w:val="CGPC-elearning"/>
        <w:rPr>
          <w:rFonts w:eastAsiaTheme="majorEastAsia"/>
          <w:color w:val="3A5D9C"/>
          <w:sz w:val="44"/>
          <w:szCs w:val="26"/>
          <w:bdr w:val="none" w:sz="0" w:space="0" w:color="auto" w:frame="1"/>
        </w:rPr>
      </w:pPr>
      <w:r>
        <w:br w:type="page"/>
      </w:r>
    </w:p>
    <w:p w14:paraId="623C4D71" w14:textId="0FCC27C5" w:rsidR="00552D7D" w:rsidRDefault="00552D7D" w:rsidP="005466DD">
      <w:pPr>
        <w:shd w:val="clear" w:color="auto" w:fill="FFFFFF"/>
        <w:spacing w:line="0" w:lineRule="auto"/>
        <w:jc w:val="center"/>
        <w:textAlignment w:val="baseline"/>
        <w:rPr>
          <w:rFonts w:cs="Open Sans"/>
          <w:color w:val="666666"/>
          <w:sz w:val="21"/>
          <w:szCs w:val="21"/>
        </w:rPr>
      </w:pPr>
      <w:r>
        <w:rPr>
          <w:rFonts w:cs="Open Sans"/>
          <w:noProof/>
          <w:color w:val="666666"/>
          <w:sz w:val="21"/>
          <w:szCs w:val="21"/>
          <w:bdr w:val="none" w:sz="0" w:space="0" w:color="auto" w:frame="1"/>
          <w:lang w:eastAsia="fr-FR"/>
        </w:rPr>
        <w:lastRenderedPageBreak/>
        <w:drawing>
          <wp:inline distT="0" distB="0" distL="0" distR="0" wp14:anchorId="456D7563" wp14:editId="1893666F">
            <wp:extent cx="11470017" cy="7898524"/>
            <wp:effectExtent l="533400" t="457200" r="798195" b="807720"/>
            <wp:docPr id="88217182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84529" cy="790851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4D660F8A" w14:textId="77777777" w:rsidR="00552D7D" w:rsidRDefault="00552D7D" w:rsidP="00552D7D">
      <w:pPr>
        <w:pStyle w:val="NormalWeb"/>
        <w:spacing w:before="0" w:beforeAutospacing="0" w:after="0" w:afterAutospacing="0"/>
        <w:jc w:val="both"/>
        <w:textAlignment w:val="baseline"/>
        <w:rPr>
          <w:rStyle w:val="lev"/>
          <w:color w:val="666666"/>
          <w:sz w:val="21"/>
          <w:szCs w:val="21"/>
        </w:rPr>
      </w:pPr>
    </w:p>
    <w:p w14:paraId="3E73C93C" w14:textId="788218A0" w:rsidR="00552D7D" w:rsidRPr="006E6684" w:rsidRDefault="00552D7D" w:rsidP="00B338CC">
      <w:pPr>
        <w:pStyle w:val="Titre3"/>
      </w:pPr>
      <w:bookmarkStart w:id="2" w:name="_Toc185433824"/>
      <w:r w:rsidRPr="008D33CB">
        <w:t xml:space="preserve">En cas de location du logement commun par un seul </w:t>
      </w:r>
      <w:r w:rsidR="006E6684" w:rsidRPr="008D33CB">
        <w:t>concubin</w:t>
      </w:r>
      <w:bookmarkEnd w:id="2"/>
      <w:r w:rsidR="006E6684" w:rsidRPr="006E6684">
        <w:rPr>
          <w:rStyle w:val="lev"/>
          <w:bCs/>
        </w:rPr>
        <w:t> </w:t>
      </w:r>
    </w:p>
    <w:p w14:paraId="05ABECB1" w14:textId="77777777" w:rsidR="00667F6C" w:rsidRPr="005466DD" w:rsidRDefault="00667F6C" w:rsidP="005466DD"/>
    <w:p w14:paraId="7AFBCCD3" w14:textId="677B2F98" w:rsidR="00552D7D" w:rsidRDefault="006E6684" w:rsidP="00552D7D">
      <w:pPr>
        <w:pStyle w:val="CGPC-elearning"/>
      </w:pPr>
      <w:r>
        <w:t>L</w:t>
      </w:r>
      <w:r w:rsidR="00552D7D">
        <w:t>e bail n’est pas automatiquement aux deux noms et un commun accord n’est pas nécessaire pour la résiliation de celui-ci. La situation du concubin non titulaire du bail présente un avantage : le propriétaire du logement ne peut pas, en principe, lui demander de verser les loyers impayés ;</w:t>
      </w:r>
    </w:p>
    <w:p w14:paraId="28EDA62D" w14:textId="04BBA4D4" w:rsidR="00552D7D" w:rsidRDefault="006E6684" w:rsidP="00552D7D">
      <w:pPr>
        <w:pStyle w:val="CGPC-elearning"/>
      </w:pPr>
      <w:r>
        <w:t>E</w:t>
      </w:r>
      <w:r w:rsidR="00552D7D">
        <w:t>n cas de décès du titulaire du bail ou d’abandon du domicile, le bail est transféré à son concubin notoire vivant avec lui depuis au moins un an à la date de l’abandon du domicile ou du décès.</w:t>
      </w:r>
    </w:p>
    <w:p w14:paraId="400CD900" w14:textId="6C1543E7" w:rsidR="00552D7D" w:rsidRPr="00667F6C" w:rsidRDefault="00552D7D" w:rsidP="00B338CC">
      <w:pPr>
        <w:pStyle w:val="Titre3"/>
      </w:pPr>
      <w:bookmarkStart w:id="3" w:name="_Toc185433825"/>
      <w:r w:rsidRPr="000E336E">
        <w:rPr>
          <w:rStyle w:val="lev"/>
          <w:b/>
          <w:bCs/>
        </w:rPr>
        <w:t>En cas de location</w:t>
      </w:r>
      <w:r w:rsidR="006E6684" w:rsidRPr="000E336E">
        <w:rPr>
          <w:rStyle w:val="lev"/>
          <w:b/>
          <w:bCs/>
        </w:rPr>
        <w:t xml:space="preserve"> avec une </w:t>
      </w:r>
      <w:proofErr w:type="spellStart"/>
      <w:r w:rsidR="006E6684" w:rsidRPr="000E336E">
        <w:rPr>
          <w:rStyle w:val="lev"/>
          <w:b/>
          <w:bCs/>
        </w:rPr>
        <w:t>co-titularité</w:t>
      </w:r>
      <w:proofErr w:type="spellEnd"/>
      <w:r w:rsidR="006E6684" w:rsidRPr="000E336E">
        <w:rPr>
          <w:rStyle w:val="lev"/>
          <w:b/>
          <w:bCs/>
        </w:rPr>
        <w:t xml:space="preserve"> du bail</w:t>
      </w:r>
      <w:bookmarkEnd w:id="3"/>
      <w:r w:rsidR="006E6684" w:rsidRPr="000E336E">
        <w:rPr>
          <w:rStyle w:val="lev"/>
          <w:b/>
          <w:bCs/>
        </w:rPr>
        <w:t> </w:t>
      </w:r>
    </w:p>
    <w:p w14:paraId="06C9C58A" w14:textId="77777777" w:rsidR="00667F6C" w:rsidRPr="005466DD" w:rsidRDefault="00667F6C" w:rsidP="005466DD"/>
    <w:p w14:paraId="30D847C8" w14:textId="77777777" w:rsidR="006E6684" w:rsidRDefault="006E6684" w:rsidP="00552D7D">
      <w:pPr>
        <w:pStyle w:val="CGPC-elearning"/>
      </w:pPr>
      <w:r>
        <w:t>L</w:t>
      </w:r>
      <w:r w:rsidR="00552D7D">
        <w:t xml:space="preserve">es deux concubins ont alors les mêmes droits. Lors de leur séparation, ils doivent s’entendre pour savoir lequel d’entre eux restera dans les lieux, sans possibilité de décision judiciaire sur l’attribution du bail à l’un ou à l’autre, faute de disposition légale. </w:t>
      </w:r>
    </w:p>
    <w:p w14:paraId="47EDA7DF" w14:textId="763569A1" w:rsidR="00552D7D" w:rsidRDefault="00552D7D" w:rsidP="00552D7D">
      <w:pPr>
        <w:pStyle w:val="CGPC-elearning"/>
      </w:pPr>
      <w:r>
        <w:t>En cas de décès de l’un des concubins, le bail continue au nom du survivant qui est assuré de rester dans les lieux</w:t>
      </w:r>
      <w:r w:rsidR="006E6684">
        <w:t>.</w:t>
      </w:r>
    </w:p>
    <w:p w14:paraId="5F5C16D9" w14:textId="15AC5BEF" w:rsidR="00552D7D" w:rsidRDefault="00552D7D" w:rsidP="00552D7D">
      <w:pPr>
        <w:pStyle w:val="CGPC-elearning"/>
      </w:pPr>
    </w:p>
    <w:p w14:paraId="5B978BD2" w14:textId="3EB829BB" w:rsidR="006E6684" w:rsidRPr="000E336E" w:rsidRDefault="00552D7D" w:rsidP="00B338CC">
      <w:pPr>
        <w:pStyle w:val="Titre3"/>
      </w:pPr>
      <w:bookmarkStart w:id="4" w:name="_Toc185433826"/>
      <w:r w:rsidRPr="000E336E">
        <w:t>En cas d’occupation d’un logement dont un seul est propriétaire</w:t>
      </w:r>
      <w:bookmarkEnd w:id="4"/>
    </w:p>
    <w:p w14:paraId="33B028CE" w14:textId="77777777" w:rsidR="000E336E" w:rsidRDefault="00552D7D" w:rsidP="000E336E">
      <w:r w:rsidRPr="000E336E">
        <w:t xml:space="preserve"> </w:t>
      </w:r>
    </w:p>
    <w:p w14:paraId="6AE57AF1" w14:textId="081A2DA6" w:rsidR="00552D7D" w:rsidRPr="000E336E" w:rsidRDefault="006E6684" w:rsidP="000E336E">
      <w:r w:rsidRPr="000E336E">
        <w:t>L</w:t>
      </w:r>
      <w:r w:rsidR="00552D7D" w:rsidRPr="000E336E">
        <w:t xml:space="preserve">a situation du concubin </w:t>
      </w:r>
      <w:proofErr w:type="gramStart"/>
      <w:r w:rsidR="00552D7D" w:rsidRPr="000E336E">
        <w:t>non propriétaire</w:t>
      </w:r>
      <w:proofErr w:type="gramEnd"/>
      <w:r w:rsidR="00552D7D" w:rsidRPr="000E336E">
        <w:t xml:space="preserve"> est précaire :</w:t>
      </w:r>
    </w:p>
    <w:p w14:paraId="00AA66EA" w14:textId="6E16D3A6" w:rsidR="00552D7D" w:rsidRPr="006E6684" w:rsidRDefault="006E6684" w:rsidP="00552D7D">
      <w:pPr>
        <w:pStyle w:val="CGPC-elearning"/>
      </w:pPr>
      <w:r w:rsidRPr="006E6684">
        <w:t>- E</w:t>
      </w:r>
      <w:r w:rsidR="00552D7D" w:rsidRPr="006E6684">
        <w:t>n cas de décès du propriétaire, il n’a aucun droit au maintien dans les lieux ;</w:t>
      </w:r>
    </w:p>
    <w:p w14:paraId="243AE01F" w14:textId="2953D64D" w:rsidR="005466DD" w:rsidRDefault="006E6684" w:rsidP="00552D7D">
      <w:pPr>
        <w:pStyle w:val="CGPC-elearning"/>
      </w:pPr>
      <w:r>
        <w:t>- L</w:t>
      </w:r>
      <w:r w:rsidR="003E087C">
        <w:t>e</w:t>
      </w:r>
      <w:r w:rsidR="00552D7D" w:rsidRPr="006E6684">
        <w:t xml:space="preserve"> concubin propriétaire</w:t>
      </w:r>
      <w:r w:rsidR="00552D7D">
        <w:t xml:space="preserve"> du logement commun peut librement le vendre ou le donner à bail.</w:t>
      </w:r>
    </w:p>
    <w:p w14:paraId="105105DE" w14:textId="77777777" w:rsidR="005466DD" w:rsidRDefault="005466DD" w:rsidP="005466DD">
      <w:pPr>
        <w:pStyle w:val="CGPC-elearning"/>
      </w:pPr>
      <w:r>
        <w:br w:type="page"/>
      </w:r>
    </w:p>
    <w:p w14:paraId="5457047B" w14:textId="535B2AC5" w:rsidR="00552D7D" w:rsidRDefault="006D05A4" w:rsidP="00552D7D">
      <w:pPr>
        <w:pStyle w:val="CGPC-elearning"/>
      </w:pPr>
      <w:r>
        <w:rPr>
          <w:noProof/>
        </w:rPr>
        <w:lastRenderedPageBreak/>
        <mc:AlternateContent>
          <mc:Choice Requires="wps">
            <w:drawing>
              <wp:anchor distT="0" distB="0" distL="114300" distR="114300" simplePos="0" relativeHeight="251661312" behindDoc="1" locked="0" layoutInCell="1" allowOverlap="1" wp14:anchorId="6B8499D6" wp14:editId="5E393189">
                <wp:simplePos x="0" y="0"/>
                <wp:positionH relativeFrom="column">
                  <wp:posOffset>-898634</wp:posOffset>
                </wp:positionH>
                <wp:positionV relativeFrom="paragraph">
                  <wp:posOffset>-898634</wp:posOffset>
                </wp:positionV>
                <wp:extent cx="15150662" cy="10720551"/>
                <wp:effectExtent l="0" t="0" r="13335" b="24130"/>
                <wp:wrapNone/>
                <wp:docPr id="2021973319" name="Rectangle 6"/>
                <wp:cNvGraphicFramePr/>
                <a:graphic xmlns:a="http://schemas.openxmlformats.org/drawingml/2006/main">
                  <a:graphicData uri="http://schemas.microsoft.com/office/word/2010/wordprocessingShape">
                    <wps:wsp>
                      <wps:cNvSpPr/>
                      <wps:spPr>
                        <a:xfrm>
                          <a:off x="0" y="0"/>
                          <a:ext cx="15150662" cy="10720551"/>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A619FC" id="Rectangle 6" o:spid="_x0000_s1026" style="position:absolute;margin-left:-70.75pt;margin-top:-70.75pt;width:1192.95pt;height:844.1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" fillcolor="#2f5496 [2404]" strokecolor="#09101d [484]" strokeweight="1pt"/>
            </w:pict>
          </mc:Fallback>
        </mc:AlternateContent>
      </w:r>
    </w:p>
    <w:p w14:paraId="64DDDFC4" w14:textId="77777777" w:rsidR="006E6684" w:rsidRDefault="006E6684" w:rsidP="00552D7D">
      <w:pPr>
        <w:pStyle w:val="CGPC-elearning"/>
      </w:pPr>
    </w:p>
    <w:p w14:paraId="2B0C5BF2" w14:textId="77777777" w:rsidR="005466DD" w:rsidRDefault="005466DD" w:rsidP="00552D7D">
      <w:pPr>
        <w:pStyle w:val="CGPC-elearning"/>
      </w:pPr>
    </w:p>
    <w:p w14:paraId="178DB5A6" w14:textId="77777777" w:rsidR="005466DD" w:rsidRDefault="005466DD" w:rsidP="00552D7D">
      <w:pPr>
        <w:pStyle w:val="CGPC-elearning"/>
      </w:pPr>
    </w:p>
    <w:p w14:paraId="37C13C09" w14:textId="77777777" w:rsidR="005466DD" w:rsidRDefault="005466DD" w:rsidP="00552D7D">
      <w:pPr>
        <w:pStyle w:val="CGPC-elearning"/>
      </w:pPr>
    </w:p>
    <w:p w14:paraId="1ADBB867" w14:textId="77777777" w:rsidR="005466DD" w:rsidRDefault="005466DD" w:rsidP="00552D7D">
      <w:pPr>
        <w:pStyle w:val="CGPC-elearning"/>
      </w:pPr>
    </w:p>
    <w:p w14:paraId="53C66F71" w14:textId="77777777" w:rsidR="005466DD" w:rsidRDefault="005466DD" w:rsidP="00552D7D">
      <w:pPr>
        <w:pStyle w:val="CGPC-elearning"/>
      </w:pPr>
    </w:p>
    <w:p w14:paraId="5C3A5A2A" w14:textId="77777777" w:rsidR="005466DD" w:rsidRDefault="005466DD" w:rsidP="00552D7D">
      <w:pPr>
        <w:pStyle w:val="CGPC-elearning"/>
      </w:pPr>
    </w:p>
    <w:p w14:paraId="75E7C547" w14:textId="77777777" w:rsidR="005466DD" w:rsidRDefault="005466DD" w:rsidP="00552D7D">
      <w:pPr>
        <w:pStyle w:val="CGPC-elearning"/>
      </w:pPr>
    </w:p>
    <w:p w14:paraId="07B7775C" w14:textId="77777777" w:rsidR="005466DD" w:rsidRDefault="005466DD" w:rsidP="00552D7D">
      <w:pPr>
        <w:pStyle w:val="CGPC-elearning"/>
      </w:pPr>
    </w:p>
    <w:p w14:paraId="01B4D930" w14:textId="5A6C8908" w:rsidR="005466DD" w:rsidRDefault="00552D7D" w:rsidP="00552D7D">
      <w:pPr>
        <w:pStyle w:val="Titre2"/>
      </w:pPr>
      <w:bookmarkStart w:id="5" w:name="_Toc155948108"/>
      <w:bookmarkStart w:id="6" w:name="_Toc185433827"/>
      <w:r>
        <w:t>Acquisition d’un bien immobilier : Indivision, SCI, pacte tontinier</w:t>
      </w:r>
      <w:bookmarkEnd w:id="5"/>
      <w:bookmarkEnd w:id="6"/>
    </w:p>
    <w:p w14:paraId="10D1CCE1" w14:textId="77777777" w:rsidR="005466DD" w:rsidRDefault="005466DD" w:rsidP="005466DD">
      <w:pPr>
        <w:pStyle w:val="CGPC-elearning"/>
        <w:rPr>
          <w:rFonts w:eastAsiaTheme="majorEastAsia"/>
          <w:color w:val="3A5D9C"/>
          <w:sz w:val="44"/>
          <w:szCs w:val="26"/>
          <w:bdr w:val="none" w:sz="0" w:space="0" w:color="auto" w:frame="1"/>
        </w:rPr>
      </w:pPr>
      <w:r>
        <w:br w:type="page"/>
      </w:r>
    </w:p>
    <w:p w14:paraId="2413DD18" w14:textId="1D38C77E" w:rsidR="005466DD" w:rsidRDefault="005466DD" w:rsidP="005466DD">
      <w:pPr>
        <w:pStyle w:val="CGPC-elearning"/>
        <w:jc w:val="center"/>
      </w:pPr>
      <w:r>
        <w:rPr>
          <w:noProof/>
          <w:bdr w:val="none" w:sz="0" w:space="0" w:color="auto" w:frame="1"/>
          <w:lang w:eastAsia="fr-FR"/>
        </w:rPr>
        <w:lastRenderedPageBreak/>
        <w:drawing>
          <wp:inline distT="0" distB="0" distL="0" distR="0" wp14:anchorId="1E6E0F09" wp14:editId="2E064973">
            <wp:extent cx="12060621" cy="8041021"/>
            <wp:effectExtent l="533400" t="457200" r="798195" b="798195"/>
            <wp:docPr id="221357050" name="Image 13" descr="Une image contenant personne, plein air, habits, bais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57050" name="Image 13" descr="Une image contenant personne, plein air, habits, baiser&#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5672" cy="805105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1FCAFD7" w14:textId="2A97FEBA" w:rsidR="00552D7D" w:rsidRDefault="00552D7D" w:rsidP="00552D7D">
      <w:pPr>
        <w:pStyle w:val="CGPC-elearning"/>
      </w:pPr>
      <w:r>
        <w:lastRenderedPageBreak/>
        <w:t>L’acquisition en commun d’un bien immobilier (qui ne devient pas un bien commun !) est un acte qui nécessite une organisation et des précautions particulières.</w:t>
      </w:r>
    </w:p>
    <w:p w14:paraId="25F27914" w14:textId="033350A3" w:rsidR="00552D7D" w:rsidRDefault="00552D7D" w:rsidP="00552D7D">
      <w:pPr>
        <w:pStyle w:val="CGPC-elearning"/>
      </w:pPr>
      <w:r>
        <w:t xml:space="preserve">L’achat de la résidence principale s’effectuera soit en indivision, soit par le moyen d’une société civile. </w:t>
      </w:r>
      <w:r w:rsidR="0042221F">
        <w:br/>
      </w:r>
      <w:r>
        <w:t xml:space="preserve">En cas de testament transmettant la partie de la résidence principale ou des parts de SCI au survivant, la taxation appliquée sera celle entre étrangers, donc de 60 %. </w:t>
      </w:r>
      <w:r w:rsidR="0042221F">
        <w:br/>
      </w:r>
      <w:r>
        <w:t>L’héritier réservataire du défunt, s’il est enfant unique, aura obligatoirement au moins 50 % de la succession.</w:t>
      </w:r>
    </w:p>
    <w:p w14:paraId="62A92141" w14:textId="73436B16" w:rsidR="0042221F" w:rsidRPr="00667F6C" w:rsidRDefault="00484418" w:rsidP="00B338CC">
      <w:pPr>
        <w:pStyle w:val="Titre3"/>
        <w:numPr>
          <w:ilvl w:val="0"/>
          <w:numId w:val="15"/>
        </w:numPr>
        <w:rPr>
          <w:rStyle w:val="Titre3Car"/>
        </w:rPr>
      </w:pPr>
      <w:bookmarkStart w:id="7" w:name="_Toc185433828"/>
      <w:r w:rsidRPr="00B338CC">
        <w:rPr>
          <w:rStyle w:val="Titre3Car"/>
          <w:b/>
        </w:rPr>
        <w:t>L’acquisition en indivision</w:t>
      </w:r>
      <w:bookmarkEnd w:id="7"/>
    </w:p>
    <w:p w14:paraId="76DA16AA" w14:textId="77777777" w:rsidR="00667F6C" w:rsidRDefault="00667F6C" w:rsidP="00552D7D">
      <w:pPr>
        <w:pStyle w:val="CGPC-elearning"/>
        <w:rPr>
          <w:rStyle w:val="lev"/>
          <w:color w:val="666666"/>
          <w:szCs w:val="24"/>
        </w:rPr>
      </w:pPr>
    </w:p>
    <w:p w14:paraId="5638F347" w14:textId="77777777" w:rsidR="0042221F" w:rsidRDefault="00552D7D" w:rsidP="00552D7D">
      <w:pPr>
        <w:pStyle w:val="CGPC-elearning"/>
      </w:pPr>
      <w:r w:rsidRPr="0042221F">
        <w:rPr>
          <w:rStyle w:val="lev"/>
          <w:color w:val="666666"/>
          <w:szCs w:val="24"/>
        </w:rPr>
        <w:t>L’indivision</w:t>
      </w:r>
      <w:r w:rsidRPr="0042221F">
        <w:rPr>
          <w:szCs w:val="24"/>
        </w:rPr>
        <w:t> </w:t>
      </w:r>
      <w:r>
        <w:t xml:space="preserve">n’est pas forcément un statut à éviter, notamment en présence d’un contrat de concubinage et d’une convention d’indivision. </w:t>
      </w:r>
    </w:p>
    <w:p w14:paraId="7B1703FC" w14:textId="6BF56B2D" w:rsidR="0042221F" w:rsidRDefault="00552D7D" w:rsidP="00552D7D">
      <w:pPr>
        <w:pStyle w:val="CGPC-elearning"/>
      </w:pPr>
      <w:r>
        <w:t xml:space="preserve">Cette situation aura le mérite de permettre une sortie au concubin qui décide de partir : en effet, le remboursement de sa part est prévu par la loi (ou les conventions </w:t>
      </w:r>
      <w:r w:rsidR="0042221F">
        <w:t>précitées</w:t>
      </w:r>
      <w:r>
        <w:t xml:space="preserve">). Alors qu’un achat en société civile sans précautions particulières pourrait geler cette détention et bloquer financièrement. </w:t>
      </w:r>
    </w:p>
    <w:p w14:paraId="5D140232" w14:textId="3D00D6DA" w:rsidR="00552D7D" w:rsidRDefault="00552D7D" w:rsidP="00552D7D">
      <w:pPr>
        <w:pStyle w:val="CGPC-elearning"/>
      </w:pPr>
      <w:r>
        <w:t>Néanmoins, cette sortie de l’indivision nécessite de nombreuses démarches et ne peut pas être réalisée rapidement (droit de préemption, licitation judiciaire…).</w:t>
      </w:r>
    </w:p>
    <w:p w14:paraId="63A51213" w14:textId="5729CDC1" w:rsidR="00552D7D" w:rsidRDefault="00552D7D" w:rsidP="00552D7D">
      <w:pPr>
        <w:pStyle w:val="CGPC-elearning"/>
      </w:pPr>
      <w:r>
        <w:t xml:space="preserve">En cas d’indivision, les quotes-parts de chaque concubin seront indiquées dans l’acte d’achat. </w:t>
      </w:r>
      <w:r w:rsidR="00BD29B1">
        <w:br/>
      </w:r>
      <w:r>
        <w:t xml:space="preserve">Au décès de l’un d’entre eux, ces parts indivises seront transmises aux héritiers ou aux légataires. </w:t>
      </w:r>
      <w:r w:rsidR="00BD29B1">
        <w:br/>
      </w:r>
      <w:r>
        <w:t xml:space="preserve">Si le concubin survivant bénéficie d’un legs, il risque de se retrouver en indivision avec les enfants du concubin prédécédé ou de leur devoir une somme d’argent au titre de leurs droits réservataires (indemnité de réduction). </w:t>
      </w:r>
      <w:r w:rsidR="00BD29B1">
        <w:br/>
      </w:r>
      <w:r>
        <w:t>Si rien n’est pas prévu dans la convention ou le testament, le concubin survivant ne bénéficie d’aucun droit particulier sur la quote-part du défunt. Il risque donc de perdre le logement familial si les héritiers décident de le vendre.</w:t>
      </w:r>
    </w:p>
    <w:p w14:paraId="4EB361E8" w14:textId="77777777" w:rsidR="00552D7D" w:rsidRDefault="00552D7D" w:rsidP="00552D7D">
      <w:pPr>
        <w:pStyle w:val="CGPC-elearning"/>
      </w:pPr>
      <w:r>
        <w:t>Pour éviter ce risque, les concubins en union libre peuvent se léguer réciproquement l’usufruit de leur quote-part de bien : au décès de l’un d’eux, le survivant restera donc propriétaire de la moitié du logement et usufruitier de l’autre et pourra donc continuer à y habiter.</w:t>
      </w:r>
    </w:p>
    <w:p w14:paraId="52BFD68D" w14:textId="77777777" w:rsidR="00552D7D" w:rsidRDefault="00552D7D" w:rsidP="00552D7D">
      <w:pPr>
        <w:pStyle w:val="CGPC-elearning"/>
      </w:pPr>
      <w:r>
        <w:t>Mais les donations et successions entre concubins non pacsé sont soumises à un droit de 60% avec abattement de 1 594 € !</w:t>
      </w:r>
    </w:p>
    <w:p w14:paraId="2496ADD3" w14:textId="77777777" w:rsidR="00552D7D" w:rsidRDefault="00552D7D" w:rsidP="00552D7D">
      <w:pPr>
        <w:pStyle w:val="CGPC-elearning"/>
      </w:pPr>
      <w:r>
        <w:t>Seule exception : si le bien acquis en tontine constitue la résidence principale, et que sa valeur globale n’est pas supérieure à 76 000 €, les droits de succession sont remplacés par les droits de mutation à titre onéreux, bien plus avantageux.</w:t>
      </w:r>
    </w:p>
    <w:p w14:paraId="79C74492" w14:textId="790A6E98" w:rsidR="00BD29B1" w:rsidRPr="005466DD" w:rsidRDefault="00BD29B1" w:rsidP="00B338CC">
      <w:pPr>
        <w:pStyle w:val="Titre3"/>
      </w:pPr>
      <w:bookmarkStart w:id="8" w:name="_Toc185433829"/>
      <w:r w:rsidRPr="005466DD">
        <w:t>L’acquisition via une société civile</w:t>
      </w:r>
      <w:bookmarkEnd w:id="8"/>
    </w:p>
    <w:p w14:paraId="66DC8EC1" w14:textId="77777777" w:rsidR="00667F6C" w:rsidRDefault="00667F6C">
      <w:pPr>
        <w:jc w:val="left"/>
        <w:rPr>
          <w:rFonts w:cs="Open Sans"/>
          <w:bCs/>
          <w:kern w:val="2"/>
          <w:szCs w:val="36"/>
          <w14:ligatures w14:val="standardContextual"/>
        </w:rPr>
      </w:pPr>
      <w:r>
        <w:br w:type="page"/>
      </w:r>
    </w:p>
    <w:p w14:paraId="43973FE2" w14:textId="67EC1488" w:rsidR="00552D7D" w:rsidRDefault="00552D7D" w:rsidP="00552D7D">
      <w:pPr>
        <w:pStyle w:val="CGPC-elearning"/>
      </w:pPr>
      <w:r>
        <w:lastRenderedPageBreak/>
        <w:t>Recourir à la </w:t>
      </w:r>
      <w:r w:rsidRPr="003230B8">
        <w:rPr>
          <w:rStyle w:val="lev"/>
          <w:color w:val="666666"/>
          <w:sz w:val="23"/>
          <w:szCs w:val="21"/>
        </w:rPr>
        <w:t>société civile</w:t>
      </w:r>
      <w:r w:rsidRPr="003230B8">
        <w:rPr>
          <w:sz w:val="26"/>
        </w:rPr>
        <w:t> </w:t>
      </w:r>
      <w:r>
        <w:t>permet d’éviter des blocages et laisse une plus grande liberté de gestion au survivant par rapport au régime de l’indivision.</w:t>
      </w:r>
    </w:p>
    <w:p w14:paraId="1C7A9ED7" w14:textId="77777777" w:rsidR="00552D7D" w:rsidRDefault="00552D7D" w:rsidP="00552D7D">
      <w:pPr>
        <w:pStyle w:val="CGPC-elearning"/>
      </w:pPr>
      <w:r>
        <w:t>En premier lieu, le gestionnaire peut être nommé statutairement et n’être révocable qu’à l’unanimité des parts. Ainsi le concubin survivant pourra rester gérant de la SCI, avec des pouvoirs étendus sur la disposition du bien (cession). Néanmoins, le financement de travaux importants risque de poser un problème avec un associé survivant « dormant ».</w:t>
      </w:r>
    </w:p>
    <w:p w14:paraId="272C5A80" w14:textId="77777777" w:rsidR="00552D7D" w:rsidRDefault="00552D7D" w:rsidP="00552D7D">
      <w:pPr>
        <w:pStyle w:val="CGPC-elearning"/>
      </w:pPr>
      <w:r>
        <w:t>Deux autres possibilités sont à étudier avec beaucoup de prudence dans le cadre d’une SCI. Elles offrent en effet un avantage au décès d’un des associés mais ne permettent pas une sortie en cas de rupture du concubinage.</w:t>
      </w:r>
    </w:p>
    <w:p w14:paraId="6B98A369" w14:textId="679B9959" w:rsidR="00552D7D" w:rsidRDefault="00552D7D" w:rsidP="00552D7D">
      <w:pPr>
        <w:pStyle w:val="CGPC-elearning"/>
      </w:pPr>
      <w:r>
        <w:t xml:space="preserve">La première des hypothèses est de créer un </w:t>
      </w:r>
      <w:r w:rsidRPr="003230B8">
        <w:rPr>
          <w:u w:val="single"/>
        </w:rPr>
        <w:t>démembrement croisé au profit de chacun des deux concubins</w:t>
      </w:r>
      <w:r>
        <w:t xml:space="preserve">. </w:t>
      </w:r>
      <w:r w:rsidR="003230B8">
        <w:br/>
      </w:r>
      <w:r>
        <w:t xml:space="preserve">Un concubin </w:t>
      </w:r>
      <w:r w:rsidR="003230B8">
        <w:t xml:space="preserve">a </w:t>
      </w:r>
      <w:r>
        <w:t xml:space="preserve">la nue-propriété des 50 premières parts et l’usufruit des 50 suivantes ; l’autre </w:t>
      </w:r>
      <w:r w:rsidR="003230B8">
        <w:t xml:space="preserve">a </w:t>
      </w:r>
      <w:r>
        <w:t xml:space="preserve">l’usufruit des 50 premières parts et la nue-propriété des 50 autres. </w:t>
      </w:r>
      <w:r w:rsidR="003230B8">
        <w:br/>
      </w:r>
      <w:r>
        <w:t>Au premier décès, le survivant se retrouve avec la pleine propriété de 50 parts et l’usufruit des 50 autres. Ce qui lui permet de percevoir les loyers du bien détenu par la société civile, voire tous les revenus des biens détenus par la société civile, si le couple a logé la totalité de son patrimoine (compte titres, contrat de capitalisation…).</w:t>
      </w:r>
    </w:p>
    <w:p w14:paraId="7A39F940" w14:textId="2C879979" w:rsidR="00552D7D" w:rsidRDefault="00552D7D" w:rsidP="00552D7D">
      <w:pPr>
        <w:pStyle w:val="CGPC-elearning"/>
      </w:pPr>
      <w:r>
        <w:t xml:space="preserve">Une solution radicale, à employer avec prudence surtout en présence d’enfants non communs, est </w:t>
      </w:r>
      <w:r w:rsidRPr="003230B8">
        <w:rPr>
          <w:u w:val="single"/>
        </w:rPr>
        <w:t>l’insertion d’une clause tontinière dans les statuts d’une société</w:t>
      </w:r>
      <w:r>
        <w:t xml:space="preserve"> (appelée également clause d’accroissement). </w:t>
      </w:r>
      <w:r w:rsidR="003230B8">
        <w:br/>
      </w:r>
      <w:r>
        <w:t xml:space="preserve">Cette clause peut être insérée dans les statuts d’une société qui achète un bien immobilier sans risquer de devoir payer les droits de succession au premier décès, compte tenu de la forme sociétaire. Le dernier survivant des concubins sera considéré comme étant rétroactivement propriétaire des parts de la société civile, elle-même propriétaire du bien, depuis son acquisition. </w:t>
      </w:r>
      <w:r w:rsidR="003230B8">
        <w:br/>
      </w:r>
      <w:r>
        <w:t xml:space="preserve">La forme sociétaire permet d’éviter le paiement des droits de succession, importants s’il s’agit de concubins. </w:t>
      </w:r>
      <w:r w:rsidR="003230B8">
        <w:br/>
      </w:r>
      <w:r>
        <w:t>Bien évidemment, il n’est possible de sortir de ce dispositif qu’au décès de l’un des deux « associés</w:t>
      </w:r>
      <w:proofErr w:type="gramStart"/>
      <w:r>
        <w:t xml:space="preserve"> »…</w:t>
      </w:r>
      <w:proofErr w:type="gramEnd"/>
    </w:p>
    <w:p w14:paraId="07B59C6B" w14:textId="0FD22528" w:rsidR="00AB6037" w:rsidRDefault="00AB6037">
      <w:pPr>
        <w:jc w:val="left"/>
        <w:rPr>
          <w:rFonts w:cs="Open Sans"/>
          <w:bCs/>
          <w:kern w:val="2"/>
          <w:szCs w:val="36"/>
          <w14:ligatures w14:val="standardContextual"/>
        </w:rPr>
      </w:pPr>
      <w:r>
        <w:br w:type="page"/>
      </w:r>
    </w:p>
    <w:p w14:paraId="6CE755C1" w14:textId="3267D2AD" w:rsidR="00653AB4" w:rsidRDefault="006D05A4" w:rsidP="00653AB4">
      <w:bookmarkStart w:id="9" w:name="_Toc155948109"/>
      <w:r>
        <w:rPr>
          <w:noProof/>
          <w14:ligatures w14:val="standardContextual"/>
        </w:rPr>
        <w:lastRenderedPageBreak/>
        <mc:AlternateContent>
          <mc:Choice Requires="wps">
            <w:drawing>
              <wp:anchor distT="0" distB="0" distL="114300" distR="114300" simplePos="0" relativeHeight="251662336" behindDoc="1" locked="0" layoutInCell="1" allowOverlap="1" wp14:anchorId="5409F9FC" wp14:editId="64EE523D">
                <wp:simplePos x="0" y="0"/>
                <wp:positionH relativeFrom="column">
                  <wp:posOffset>-898634</wp:posOffset>
                </wp:positionH>
                <wp:positionV relativeFrom="paragraph">
                  <wp:posOffset>-898634</wp:posOffset>
                </wp:positionV>
                <wp:extent cx="15245255" cy="10704786"/>
                <wp:effectExtent l="0" t="0" r="13970" b="20955"/>
                <wp:wrapNone/>
                <wp:docPr id="809002510" name="Rectangle 7"/>
                <wp:cNvGraphicFramePr/>
                <a:graphic xmlns:a="http://schemas.openxmlformats.org/drawingml/2006/main">
                  <a:graphicData uri="http://schemas.microsoft.com/office/word/2010/wordprocessingShape">
                    <wps:wsp>
                      <wps:cNvSpPr/>
                      <wps:spPr>
                        <a:xfrm>
                          <a:off x="0" y="0"/>
                          <a:ext cx="15245255" cy="10704786"/>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0035CB" id="Rectangle 7" o:spid="_x0000_s1026" style="position:absolute;margin-left:-70.75pt;margin-top:-70.75pt;width:1200.4pt;height:842.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" fillcolor="#2f5496 [2404]" strokecolor="#09101d [484]" strokeweight="1pt"/>
            </w:pict>
          </mc:Fallback>
        </mc:AlternateContent>
      </w:r>
    </w:p>
    <w:p w14:paraId="64CA9BB1" w14:textId="77777777" w:rsidR="00653AB4" w:rsidRDefault="00653AB4" w:rsidP="00653AB4"/>
    <w:p w14:paraId="32C8BFB4" w14:textId="77777777" w:rsidR="00653AB4" w:rsidRDefault="00653AB4" w:rsidP="00653AB4"/>
    <w:p w14:paraId="75E259BA" w14:textId="77777777" w:rsidR="00653AB4" w:rsidRDefault="00653AB4" w:rsidP="00653AB4"/>
    <w:p w14:paraId="186B45A2" w14:textId="77777777" w:rsidR="00653AB4" w:rsidRDefault="00653AB4" w:rsidP="00653AB4"/>
    <w:p w14:paraId="4DFF44FD" w14:textId="77777777" w:rsidR="00653AB4" w:rsidRDefault="00653AB4" w:rsidP="00653AB4"/>
    <w:p w14:paraId="751B67AF" w14:textId="77777777" w:rsidR="00653AB4" w:rsidRDefault="00653AB4" w:rsidP="00653AB4"/>
    <w:p w14:paraId="51D9932E" w14:textId="77777777" w:rsidR="00653AB4" w:rsidRDefault="00653AB4" w:rsidP="00653AB4"/>
    <w:p w14:paraId="71F182FD" w14:textId="77777777" w:rsidR="00653AB4" w:rsidRDefault="00653AB4" w:rsidP="00653AB4"/>
    <w:p w14:paraId="488150C6" w14:textId="77777777" w:rsidR="00653AB4" w:rsidRDefault="00653AB4" w:rsidP="00653AB4"/>
    <w:p w14:paraId="1D1C01F7" w14:textId="593B06D0" w:rsidR="00653AB4" w:rsidRPr="00653AB4" w:rsidRDefault="00552D7D" w:rsidP="00653AB4">
      <w:pPr>
        <w:pStyle w:val="Titre2"/>
      </w:pPr>
      <w:bookmarkStart w:id="10" w:name="_Toc185433830"/>
      <w:r w:rsidRPr="00653AB4">
        <w:t>Dispositions à cause de décès</w:t>
      </w:r>
      <w:bookmarkEnd w:id="9"/>
      <w:bookmarkEnd w:id="10"/>
    </w:p>
    <w:p w14:paraId="09696ED6" w14:textId="77777777" w:rsidR="00653AB4" w:rsidRDefault="00653AB4" w:rsidP="00653AB4">
      <w:pPr>
        <w:pStyle w:val="CGPC-elearning"/>
        <w:rPr>
          <w:rFonts w:eastAsiaTheme="majorEastAsia"/>
          <w:color w:val="3A5D9C"/>
          <w:sz w:val="44"/>
          <w:szCs w:val="26"/>
          <w:bdr w:val="none" w:sz="0" w:space="0" w:color="auto" w:frame="1"/>
        </w:rPr>
      </w:pPr>
      <w:r>
        <w:br w:type="page"/>
      </w:r>
    </w:p>
    <w:p w14:paraId="568421FE" w14:textId="3E780938" w:rsidR="00552D7D" w:rsidRDefault="00552D7D" w:rsidP="00653AB4">
      <w:pPr>
        <w:shd w:val="clear" w:color="auto" w:fill="FFFFFF"/>
        <w:spacing w:line="0" w:lineRule="auto"/>
        <w:jc w:val="center"/>
        <w:textAlignment w:val="baseline"/>
        <w:rPr>
          <w:rFonts w:cs="Open Sans"/>
          <w:color w:val="666666"/>
          <w:sz w:val="21"/>
          <w:szCs w:val="21"/>
        </w:rPr>
      </w:pPr>
      <w:r>
        <w:rPr>
          <w:rFonts w:cs="Open Sans"/>
          <w:noProof/>
          <w:color w:val="666666"/>
          <w:sz w:val="21"/>
          <w:szCs w:val="21"/>
          <w:bdr w:val="none" w:sz="0" w:space="0" w:color="auto" w:frame="1"/>
          <w:lang w:eastAsia="fr-FR"/>
        </w:rPr>
        <w:lastRenderedPageBreak/>
        <w:drawing>
          <wp:inline distT="0" distB="0" distL="0" distR="0" wp14:anchorId="44CAB416" wp14:editId="47AA150F">
            <wp:extent cx="12012419" cy="8008883"/>
            <wp:effectExtent l="533400" t="457200" r="808355" b="792480"/>
            <wp:docPr id="49995745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30402" cy="802087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51347D0" w14:textId="77777777" w:rsidR="00B8067C" w:rsidRPr="00B8067C" w:rsidRDefault="00B8067C" w:rsidP="00B8067C"/>
    <w:p w14:paraId="2618EF22" w14:textId="0EF62B1D" w:rsidR="00552D7D" w:rsidRPr="00B338CC" w:rsidRDefault="00653AB4" w:rsidP="00B338CC">
      <w:pPr>
        <w:pStyle w:val="Titre3"/>
        <w:numPr>
          <w:ilvl w:val="0"/>
          <w:numId w:val="14"/>
        </w:numPr>
        <w:rPr>
          <w:sz w:val="36"/>
          <w:szCs w:val="36"/>
        </w:rPr>
      </w:pPr>
      <w:bookmarkStart w:id="11" w:name="_Toc155948110"/>
      <w:r>
        <w:t xml:space="preserve"> </w:t>
      </w:r>
      <w:bookmarkStart w:id="12" w:name="_Toc185433831"/>
      <w:r w:rsidR="00667F6C">
        <w:t>Le t</w:t>
      </w:r>
      <w:r w:rsidR="00552D7D">
        <w:t>estament</w:t>
      </w:r>
      <w:bookmarkEnd w:id="11"/>
      <w:bookmarkEnd w:id="12"/>
    </w:p>
    <w:p w14:paraId="24EE13DC" w14:textId="77777777" w:rsidR="00B8067C" w:rsidRDefault="00B8067C" w:rsidP="00552D7D">
      <w:pPr>
        <w:pStyle w:val="NormalWeb"/>
        <w:spacing w:before="0" w:beforeAutospacing="0" w:after="0" w:afterAutospacing="0"/>
        <w:textAlignment w:val="baseline"/>
        <w:rPr>
          <w:rStyle w:val="lev"/>
          <w:color w:val="666666"/>
          <w:sz w:val="21"/>
          <w:szCs w:val="21"/>
        </w:rPr>
      </w:pPr>
    </w:p>
    <w:p w14:paraId="259AA75F" w14:textId="0AE24141" w:rsidR="00552D7D" w:rsidRPr="00B8067C" w:rsidRDefault="00552D7D" w:rsidP="00B8067C">
      <w:pPr>
        <w:pStyle w:val="CGPC-elearning"/>
      </w:pPr>
      <w:r w:rsidRPr="00B8067C">
        <w:rPr>
          <w:rStyle w:val="lev"/>
          <w:b w:val="0"/>
          <w:bCs/>
        </w:rPr>
        <w:t>Les personnes en union libre n’ont droit à aucun avantage successoral</w:t>
      </w:r>
      <w:r w:rsidRPr="00B8067C">
        <w:t>. Les concubins ont par conséquent tout intérêt à </w:t>
      </w:r>
      <w:hyperlink r:id="rId14" w:history="1">
        <w:r w:rsidRPr="00B8067C">
          <w:rPr>
            <w:rStyle w:val="Lienhypertexte"/>
            <w:color w:val="auto"/>
            <w:u w:val="none"/>
          </w:rPr>
          <w:t>rédiger un testament</w:t>
        </w:r>
      </w:hyperlink>
      <w:r w:rsidRPr="00B8067C">
        <w:t>, faute de quoi, en cas de décès, l’autre n’aura aucun droit.</w:t>
      </w:r>
    </w:p>
    <w:p w14:paraId="3913ADF2" w14:textId="77777777" w:rsidR="00552D7D" w:rsidRPr="00B8067C" w:rsidRDefault="00552D7D" w:rsidP="00B8067C">
      <w:pPr>
        <w:pStyle w:val="CGPC-elearning"/>
      </w:pPr>
      <w:r w:rsidRPr="00B8067C">
        <w:rPr>
          <w:rStyle w:val="lev"/>
          <w:b w:val="0"/>
          <w:bCs/>
        </w:rPr>
        <w:t>Par testament, le survivant pourra alors bénéficier de la quotité disponible (</w:t>
      </w:r>
      <w:hyperlink r:id="rId15" w:history="1">
        <w:r w:rsidRPr="00B8067C">
          <w:rPr>
            <w:rStyle w:val="Lienhypertexte"/>
            <w:color w:val="auto"/>
            <w:u w:val="none"/>
          </w:rPr>
          <w:t>C. civ., art 913</w:t>
        </w:r>
      </w:hyperlink>
      <w:r w:rsidRPr="00B8067C">
        <w:rPr>
          <w:rStyle w:val="lev"/>
          <w:b w:val="0"/>
          <w:bCs/>
        </w:rPr>
        <w:t>) : soit la moitié de la succession en présence d’un enfant, le tiers en présence de deux enfants et d’un quart à partir de trois enfants. En cas de dépassement de cette limite, l’enfant ou les enfants peuvent remettre en cause le legs.</w:t>
      </w:r>
      <w:r w:rsidRPr="00B8067C">
        <w:t> Il est rappelé que si le concubin hérite du fait d’un testament, il sera taxé sur sa part à 60% !</w:t>
      </w:r>
    </w:p>
    <w:p w14:paraId="4304ECDD" w14:textId="77777777" w:rsidR="00552D7D" w:rsidRPr="00B8067C" w:rsidRDefault="00552D7D" w:rsidP="00B8067C">
      <w:pPr>
        <w:pStyle w:val="CGPC-elearning"/>
        <w:rPr>
          <w:rStyle w:val="lev"/>
          <w:b w:val="0"/>
          <w:bCs/>
        </w:rPr>
      </w:pPr>
      <w:r w:rsidRPr="00B8067C">
        <w:t>Un testament peut prévoir un legs au profit du concubin, pour lui permettre de conserver le logement en cas d’achat par l’un ou en indivision. Afin de limiter la part taxable, il peut être prévu uniquement un legs de l’usufruit ou du droit d’usage</w:t>
      </w:r>
      <w:r w:rsidRPr="00B8067C">
        <w:rPr>
          <w:rStyle w:val="lev"/>
          <w:b w:val="0"/>
          <w:bCs/>
        </w:rPr>
        <w:t>.</w:t>
      </w:r>
    </w:p>
    <w:p w14:paraId="02BC4BE5" w14:textId="77777777" w:rsidR="00B8067C" w:rsidRDefault="00B8067C" w:rsidP="00B8067C">
      <w:pPr>
        <w:pStyle w:val="CGPC-elearning"/>
      </w:pPr>
    </w:p>
    <w:p w14:paraId="2EFFACDC" w14:textId="0986AF0D" w:rsidR="00552D7D" w:rsidRDefault="00667F6C" w:rsidP="00B338CC">
      <w:pPr>
        <w:pStyle w:val="Titre3"/>
        <w:rPr>
          <w:sz w:val="36"/>
          <w:szCs w:val="36"/>
        </w:rPr>
      </w:pPr>
      <w:bookmarkStart w:id="13" w:name="_Toc155948111"/>
      <w:r>
        <w:t xml:space="preserve"> </w:t>
      </w:r>
      <w:bookmarkStart w:id="14" w:name="_Toc185433832"/>
      <w:r>
        <w:t>Les c</w:t>
      </w:r>
      <w:r w:rsidR="00552D7D">
        <w:t>lauses bénéficiaires croisées en assurance vie</w:t>
      </w:r>
      <w:bookmarkEnd w:id="13"/>
      <w:bookmarkEnd w:id="14"/>
    </w:p>
    <w:p w14:paraId="1C704D2D" w14:textId="77777777" w:rsidR="00B8067C" w:rsidRDefault="00B8067C" w:rsidP="00552D7D">
      <w:pPr>
        <w:pStyle w:val="NormalWeb"/>
        <w:spacing w:before="0" w:beforeAutospacing="0" w:after="0" w:afterAutospacing="0"/>
        <w:textAlignment w:val="baseline"/>
        <w:rPr>
          <w:rFonts w:ascii="Open Sans" w:hAnsi="Open Sans" w:cs="Open Sans"/>
          <w:color w:val="666666"/>
          <w:sz w:val="21"/>
          <w:szCs w:val="21"/>
        </w:rPr>
      </w:pPr>
    </w:p>
    <w:p w14:paraId="21972DD8" w14:textId="30A7C408" w:rsidR="00552D7D" w:rsidRPr="00B8067C" w:rsidRDefault="00552D7D" w:rsidP="00B8067C">
      <w:pPr>
        <w:pStyle w:val="CGPC-elearning"/>
      </w:pPr>
      <w:r>
        <w:t>La liberté de désigner le bénéficiaire peut être utilisée au profit du concubin, mais doit être raisonnable. En cas d’abus (primes manifestement exagérées), la sanction est</w:t>
      </w:r>
      <w:r w:rsidR="00C239D7">
        <w:t xml:space="preserve"> la </w:t>
      </w:r>
      <w:r w:rsidRPr="00B8067C">
        <w:t>réintégration des primes dans l’actif successoral, ce qui entraînera une taxation de celle</w:t>
      </w:r>
      <w:r w:rsidR="00C239D7">
        <w:t>s</w:t>
      </w:r>
      <w:r w:rsidRPr="00B8067C">
        <w:t>-ci à 60 %.</w:t>
      </w:r>
    </w:p>
    <w:p w14:paraId="3FC67A9B" w14:textId="77777777" w:rsidR="00552D7D" w:rsidRPr="00B8067C" w:rsidRDefault="00552D7D" w:rsidP="00B8067C">
      <w:pPr>
        <w:pStyle w:val="CGPC-elearning"/>
      </w:pPr>
      <w:r w:rsidRPr="00B8067C">
        <w:t>En outre, la présence d’enfants oblige à un arbitrage entre ceux-ci et le concubin.</w:t>
      </w:r>
    </w:p>
    <w:p w14:paraId="3C5A5C8F" w14:textId="77777777" w:rsidR="00552D7D" w:rsidRPr="00B8067C" w:rsidRDefault="00552D7D" w:rsidP="00B8067C">
      <w:pPr>
        <w:pStyle w:val="CGPC-elearning"/>
      </w:pPr>
      <w:r w:rsidRPr="00B8067C">
        <w:t>Enfin, il est prudent de réétudier la clause bénéficiaire régulièrement :</w:t>
      </w:r>
    </w:p>
    <w:p w14:paraId="719DA207" w14:textId="3420D06C" w:rsidR="00552D7D" w:rsidRPr="00B8067C" w:rsidRDefault="00B37109" w:rsidP="00B8067C">
      <w:pPr>
        <w:pStyle w:val="CGPC-elearning"/>
      </w:pPr>
      <w:r>
        <w:t xml:space="preserve">- </w:t>
      </w:r>
      <w:r w:rsidR="00552D7D" w:rsidRPr="00B8067C">
        <w:t>si celle-ci désigne nommément le concubin (M Jean X, né le __</w:t>
      </w:r>
      <w:proofErr w:type="gramStart"/>
      <w:r w:rsidR="00552D7D" w:rsidRPr="00B8067C">
        <w:t>_ )</w:t>
      </w:r>
      <w:proofErr w:type="gramEnd"/>
      <w:r w:rsidR="00552D7D" w:rsidRPr="00B8067C">
        <w:t>, ce qui a l’avantage de la simplicité pour le gestionnaire de l’assurance, il conviendra d’en rédiger une nouvelle en cas de séparation ;</w:t>
      </w:r>
    </w:p>
    <w:p w14:paraId="475DDCB4" w14:textId="43BFEA43" w:rsidR="00552D7D" w:rsidRDefault="00B37109" w:rsidP="00B8067C">
      <w:pPr>
        <w:pStyle w:val="CGPC-elearning"/>
      </w:pPr>
      <w:r>
        <w:t xml:space="preserve">- </w:t>
      </w:r>
      <w:r w:rsidR="00552D7D" w:rsidRPr="00B8067C">
        <w:t>chacun des concubins est libre de désigner l’autre comme bénéficiaire de son contrat d’assurance vie, mais pourra modifier cette clause sans en prévenir l’autre. L’acceptation par le concubin bénéficiaire de la clause est à éviter car</w:t>
      </w:r>
      <w:r>
        <w:t>,</w:t>
      </w:r>
      <w:r w:rsidR="00552D7D" w:rsidRPr="00B8067C">
        <w:t xml:space="preserve"> en cas de séparation, le contrat peut être bloqué.</w:t>
      </w:r>
    </w:p>
    <w:p w14:paraId="071305EF" w14:textId="77777777" w:rsidR="00B8067C" w:rsidRPr="00B8067C" w:rsidRDefault="00B8067C" w:rsidP="00B8067C">
      <w:pPr>
        <w:pStyle w:val="CGPC-elearning"/>
      </w:pPr>
    </w:p>
    <w:p w14:paraId="76E8D076" w14:textId="31E13ACF" w:rsidR="00552D7D" w:rsidRDefault="00552D7D" w:rsidP="00552D7D">
      <w:pPr>
        <w:shd w:val="clear" w:color="auto" w:fill="FFFFFF"/>
        <w:spacing w:line="0" w:lineRule="auto"/>
        <w:textAlignment w:val="baseline"/>
        <w:rPr>
          <w:rFonts w:cs="Open Sans"/>
          <w:color w:val="666666"/>
          <w:sz w:val="21"/>
          <w:szCs w:val="21"/>
        </w:rPr>
      </w:pPr>
    </w:p>
    <w:p w14:paraId="5C922E5C" w14:textId="682CC4D7" w:rsidR="00552D7D" w:rsidRDefault="00552D7D" w:rsidP="00552D7D">
      <w:pPr>
        <w:shd w:val="clear" w:color="auto" w:fill="FFFFFF"/>
        <w:spacing w:line="0" w:lineRule="auto"/>
        <w:textAlignment w:val="baseline"/>
        <w:rPr>
          <w:rFonts w:cs="Open Sans"/>
          <w:color w:val="666666"/>
          <w:sz w:val="21"/>
          <w:szCs w:val="21"/>
        </w:rPr>
      </w:pPr>
    </w:p>
    <w:p w14:paraId="6F09640C" w14:textId="12C9A3EA" w:rsidR="00552D7D" w:rsidRDefault="00B338CC" w:rsidP="00B338CC">
      <w:pPr>
        <w:pStyle w:val="Titre3"/>
        <w:rPr>
          <w:sz w:val="36"/>
          <w:szCs w:val="36"/>
        </w:rPr>
      </w:pPr>
      <w:bookmarkStart w:id="15" w:name="_Toc155948112"/>
      <w:r>
        <w:t xml:space="preserve"> </w:t>
      </w:r>
      <w:bookmarkStart w:id="16" w:name="_Toc185433833"/>
      <w:r w:rsidR="00667F6C">
        <w:t>L’a</w:t>
      </w:r>
      <w:r w:rsidR="00552D7D">
        <w:t>ssurance décès</w:t>
      </w:r>
      <w:bookmarkEnd w:id="15"/>
      <w:bookmarkEnd w:id="16"/>
    </w:p>
    <w:p w14:paraId="77A74955" w14:textId="77777777" w:rsidR="00B8067C" w:rsidRDefault="00B8067C" w:rsidP="00552D7D">
      <w:pPr>
        <w:pStyle w:val="NormalWeb"/>
        <w:spacing w:before="0" w:beforeAutospacing="0" w:after="0" w:afterAutospacing="0"/>
        <w:jc w:val="both"/>
        <w:textAlignment w:val="baseline"/>
        <w:rPr>
          <w:rFonts w:ascii="Open Sans" w:hAnsi="Open Sans" w:cs="Open Sans"/>
          <w:color w:val="666666"/>
          <w:sz w:val="21"/>
          <w:szCs w:val="21"/>
        </w:rPr>
      </w:pPr>
    </w:p>
    <w:p w14:paraId="56501E63" w14:textId="74D05705" w:rsidR="00552D7D" w:rsidRDefault="00552D7D" w:rsidP="00B8067C">
      <w:pPr>
        <w:pStyle w:val="CGPC-elearning"/>
      </w:pPr>
      <w:r>
        <w:t>Le choix de garantir son concubin par une assurance décès à son profit lui permettra de :</w:t>
      </w:r>
    </w:p>
    <w:p w14:paraId="5AAAA9E2" w14:textId="2CD32E1A" w:rsidR="00552D7D" w:rsidRDefault="00C239D7" w:rsidP="00B8067C">
      <w:pPr>
        <w:pStyle w:val="CGPC-elearning"/>
      </w:pPr>
      <w:r>
        <w:t xml:space="preserve">- </w:t>
      </w:r>
      <w:r w:rsidR="00552D7D">
        <w:t>régler les droits de succession, en cas de legs à son profit ;</w:t>
      </w:r>
    </w:p>
    <w:p w14:paraId="60442ED9" w14:textId="4341BEA7" w:rsidR="00552D7D" w:rsidRDefault="00C239D7" w:rsidP="00B8067C">
      <w:pPr>
        <w:pStyle w:val="CGPC-elearning"/>
      </w:pPr>
      <w:r>
        <w:t xml:space="preserve">- </w:t>
      </w:r>
      <w:r w:rsidR="00552D7D">
        <w:t>maintenir son train de vie ;</w:t>
      </w:r>
    </w:p>
    <w:p w14:paraId="32C61C51" w14:textId="4C3BE382" w:rsidR="00552D7D" w:rsidRDefault="00C239D7" w:rsidP="00B8067C">
      <w:pPr>
        <w:pStyle w:val="CGPC-elearning"/>
      </w:pPr>
      <w:r>
        <w:lastRenderedPageBreak/>
        <w:t xml:space="preserve">- </w:t>
      </w:r>
      <w:r w:rsidR="00552D7D">
        <w:t>racheter la quote-part de la résidence principale acquise ensemble.</w:t>
      </w:r>
    </w:p>
    <w:p w14:paraId="75390EF6" w14:textId="77777777" w:rsidR="00552D7D" w:rsidRDefault="00552D7D" w:rsidP="00B8067C">
      <w:pPr>
        <w:pStyle w:val="CGPC-elearning"/>
      </w:pPr>
      <w:r>
        <w:t>L’avantage principal de l’assurance décès est qu’en cas de décès de l’un des concubins, le survivant n’aura pas à payer de droits de succession et n’aura pas non plus de comptes à rendre aux héritiers lorsqu’il recevra son capital. Il faut cependant savoir que les primes versées ne doivent pas être exagérées par rapport aux ressources du concubin qui a souscrit l’assurance décès.</w:t>
      </w:r>
    </w:p>
    <w:p w14:paraId="3DB2A321" w14:textId="28FFF4C5" w:rsidR="00FD73FA" w:rsidRPr="00552D7D" w:rsidRDefault="00FD73FA" w:rsidP="00552D7D"/>
    <w:sectPr w:rsidR="00FD73FA" w:rsidRPr="00552D7D" w:rsidSect="00AB6037">
      <w:headerReference w:type="default" r:id="rId16"/>
      <w:footerReference w:type="default" r:id="rId17"/>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49B24" w14:textId="77777777" w:rsidR="00546EF8" w:rsidRDefault="00546EF8" w:rsidP="002020F9">
      <w:pPr>
        <w:spacing w:after="0" w:line="240" w:lineRule="auto"/>
      </w:pPr>
      <w:r>
        <w:separator/>
      </w:r>
    </w:p>
  </w:endnote>
  <w:endnote w:type="continuationSeparator" w:id="0">
    <w:p w14:paraId="5148B923" w14:textId="77777777" w:rsidR="00546EF8" w:rsidRDefault="00546EF8"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6061315-3D17-4528-B8F0-2FF9AFC1604E}"/>
    <w:embedBold r:id="rId2" w:fontKey="{BE394320-531A-495D-90A6-1F49B2F137AE}"/>
    <w:embedItalic r:id="rId3" w:fontKey="{9119D1FE-6B08-41D8-A22B-9BA0727CAB23}"/>
    <w:embedBoldItalic r:id="rId4" w:fontKey="{B3637A1F-8A2B-4DBA-967B-0B91A1D60D86}"/>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62338144-6055-45C9-8866-DFC73249FBBA}"/>
    <w:embedBold r:id="rId6" w:fontKey="{6F6BE96E-E47C-402E-9CA8-A816C054F664}"/>
    <w:embedItalic r:id="rId7" w:fontKey="{DB48706D-E9E2-475B-B0D5-053E8E071139}"/>
    <w:embedBoldItalic r:id="rId8" w:fontKey="{63865F07-1408-439C-AA38-5CD26617EB26}"/>
  </w:font>
  <w:font w:name="Calibri Light">
    <w:panose1 w:val="020F0302020204030204"/>
    <w:charset w:val="00"/>
    <w:family w:val="swiss"/>
    <w:pitch w:val="variable"/>
    <w:sig w:usb0="E4002EFF" w:usb1="C200247B" w:usb2="00000009" w:usb3="00000000" w:csb0="000001FF" w:csb1="00000000"/>
    <w:embedRegular r:id="rId9" w:fontKey="{5A0909B1-46B5-4F88-8330-78C1D7035BB1}"/>
    <w:embedItalic r:id="rId10" w:fontKey="{DF36B65D-1528-4742-BF5A-95B6ECDEED63}"/>
  </w:font>
  <w:font w:name="Tahoma">
    <w:panose1 w:val="020B0604030504040204"/>
    <w:charset w:val="00"/>
    <w:family w:val="swiss"/>
    <w:pitch w:val="variable"/>
    <w:sig w:usb0="E1002EFF" w:usb1="C000605B" w:usb2="00000029" w:usb3="00000000" w:csb0="000101FF" w:csb1="00000000"/>
    <w:embedRegular r:id="rId11" w:fontKey="{99D083DD-E7D0-4B07-98B3-4135941FD6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AD2D4" w14:textId="125E764D" w:rsidR="00484418" w:rsidRDefault="00F472FA">
    <w:pPr>
      <w:pStyle w:val="Pieddepage"/>
    </w:pPr>
    <w:r>
      <w:rPr>
        <w:noProof/>
        <w:color w:val="4472C4" w:themeColor="accent1"/>
      </w:rPr>
      <mc:AlternateContent>
        <mc:Choice Requires="wps">
          <w:drawing>
            <wp:anchor distT="0" distB="0" distL="114300" distR="114300" simplePos="0" relativeHeight="251658240" behindDoc="0" locked="0" layoutInCell="1" allowOverlap="1" wp14:anchorId="6819E68B" wp14:editId="44AE5B5B">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6935E9A9" id="Rectangle 247" o:spid="_x0000_s1026" style="position:absolute;margin-left:0;margin-top:0;width:579.9pt;height:750.3pt;z-index:25165824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D53B05">
      <w:rPr>
        <w:rFonts w:asciiTheme="majorHAnsi" w:eastAsiaTheme="majorEastAsia" w:hAnsiTheme="majorHAnsi" w:cstheme="majorBidi"/>
        <w:color w:val="4472C4" w:themeColor="accent1"/>
        <w:sz w:val="20"/>
        <w:szCs w:val="20"/>
      </w:rPr>
      <w:t xml:space="preserve"> </w:t>
    </w:r>
    <w:r w:rsidR="00D53B05" w:rsidRPr="00D53B05">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037FC" w14:textId="77777777" w:rsidR="00546EF8" w:rsidRDefault="00546EF8" w:rsidP="002020F9">
      <w:pPr>
        <w:spacing w:after="0" w:line="240" w:lineRule="auto"/>
      </w:pPr>
      <w:r>
        <w:separator/>
      </w:r>
    </w:p>
  </w:footnote>
  <w:footnote w:type="continuationSeparator" w:id="0">
    <w:p w14:paraId="0C62ADFB" w14:textId="77777777" w:rsidR="00546EF8" w:rsidRDefault="00546EF8"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7D8C9" w14:textId="0D447813" w:rsidR="005E4378" w:rsidRDefault="00F472FA">
    <w:pPr>
      <w:pStyle w:val="En-tte"/>
    </w:pPr>
    <w:r>
      <w:rPr>
        <w:noProof/>
      </w:rPr>
      <mc:AlternateContent>
        <mc:Choice Requires="wps">
          <w:drawing>
            <wp:anchor distT="0" distB="0" distL="118745" distR="118745" simplePos="0" relativeHeight="251661312" behindDoc="1" locked="0" layoutInCell="1" allowOverlap="0" wp14:anchorId="16BF171E" wp14:editId="3BE6A5CD">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93E1A7A" w14:textId="0E60B516" w:rsidR="00F472FA" w:rsidRDefault="00D53B05">
                              <w:pPr>
                                <w:pStyle w:val="En-tte"/>
                                <w:jc w:val="center"/>
                                <w:rPr>
                                  <w:caps/>
                                  <w:color w:val="FFFFFF" w:themeColor="background1"/>
                                </w:rPr>
                              </w:pPr>
                              <w:r>
                                <w:rPr>
                                  <w:caps/>
                                  <w:color w:val="FFFFFF" w:themeColor="background1"/>
                                </w:rPr>
                                <w:t>Chapitre 2 : De la protection du concubin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16BF171E" id="Rectangle 200" o:spid="_x0000_s1026"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93E1A7A" w14:textId="0E60B516" w:rsidR="00F472FA" w:rsidRDefault="00D53B05">
                        <w:pPr>
                          <w:pStyle w:val="En-tte"/>
                          <w:jc w:val="center"/>
                          <w:rPr>
                            <w:caps/>
                            <w:color w:val="FFFFFF" w:themeColor="background1"/>
                          </w:rPr>
                        </w:pPr>
                        <w:r>
                          <w:rPr>
                            <w:caps/>
                            <w:color w:val="FFFFFF" w:themeColor="background1"/>
                          </w:rPr>
                          <w:t>Chapitre 2 : De la protection du concubin</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856F1"/>
    <w:multiLevelType w:val="hybridMultilevel"/>
    <w:tmpl w:val="DD989E0E"/>
    <w:lvl w:ilvl="0" w:tplc="23B65F44">
      <w:start w:val="1"/>
      <w:numFmt w:val="decimal"/>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FA7FE7"/>
    <w:multiLevelType w:val="hybridMultilevel"/>
    <w:tmpl w:val="009A7AB6"/>
    <w:lvl w:ilvl="0" w:tplc="365A6776">
      <w:start w:val="1"/>
      <w:numFmt w:val="upperLetter"/>
      <w:lvlText w:val="%1."/>
      <w:lvlJc w:val="left"/>
      <w:pPr>
        <w:ind w:left="720" w:hanging="360"/>
      </w:pPr>
      <w:rPr>
        <w:rFonts w:hint="default"/>
        <w:b w:val="0"/>
        <w:sz w:val="21"/>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B712EAF"/>
    <w:multiLevelType w:val="hybridMultilevel"/>
    <w:tmpl w:val="8AB82E64"/>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3E7B24B8"/>
    <w:multiLevelType w:val="hybridMultilevel"/>
    <w:tmpl w:val="D8AA7FE2"/>
    <w:lvl w:ilvl="0" w:tplc="7758F7D4">
      <w:start w:val="1"/>
      <w:numFmt w:val="upp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 w15:restartNumberingAfterBreak="0">
    <w:nsid w:val="407210BA"/>
    <w:multiLevelType w:val="hybridMultilevel"/>
    <w:tmpl w:val="AD60E572"/>
    <w:lvl w:ilvl="0" w:tplc="CD1AF3B2">
      <w:start w:val="1"/>
      <w:numFmt w:val="upp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4314407"/>
    <w:multiLevelType w:val="multilevel"/>
    <w:tmpl w:val="8438EC96"/>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46446903"/>
    <w:multiLevelType w:val="hybridMultilevel"/>
    <w:tmpl w:val="47EA3358"/>
    <w:lvl w:ilvl="0" w:tplc="28768B18">
      <w:start w:val="1"/>
      <w:numFmt w:val="upp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AC83DCC"/>
    <w:multiLevelType w:val="hybridMultilevel"/>
    <w:tmpl w:val="64661B4A"/>
    <w:lvl w:ilvl="0" w:tplc="2B4EB376">
      <w:start w:val="1"/>
      <w:numFmt w:val="upp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D881A66"/>
    <w:multiLevelType w:val="hybridMultilevel"/>
    <w:tmpl w:val="A754F1A0"/>
    <w:lvl w:ilvl="0" w:tplc="2FDEAD96">
      <w:start w:val="1"/>
      <w:numFmt w:val="decimal"/>
      <w:pStyle w:val="Titre3"/>
      <w:lvlText w:val="%1."/>
      <w:lvlJc w:val="left"/>
      <w:pPr>
        <w:ind w:left="2040" w:hanging="360"/>
      </w:p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num w:numId="1" w16cid:durableId="234896870">
    <w:abstractNumId w:val="6"/>
  </w:num>
  <w:num w:numId="2" w16cid:durableId="780488275">
    <w:abstractNumId w:val="4"/>
  </w:num>
  <w:num w:numId="3" w16cid:durableId="393966216">
    <w:abstractNumId w:val="0"/>
  </w:num>
  <w:num w:numId="4" w16cid:durableId="1552959500">
    <w:abstractNumId w:val="1"/>
  </w:num>
  <w:num w:numId="5" w16cid:durableId="1553423196">
    <w:abstractNumId w:val="2"/>
  </w:num>
  <w:num w:numId="6" w16cid:durableId="2057388656">
    <w:abstractNumId w:val="7"/>
  </w:num>
  <w:num w:numId="7" w16cid:durableId="1069574221">
    <w:abstractNumId w:val="5"/>
  </w:num>
  <w:num w:numId="8" w16cid:durableId="1328509545">
    <w:abstractNumId w:val="8"/>
  </w:num>
  <w:num w:numId="9" w16cid:durableId="1450927404">
    <w:abstractNumId w:val="3"/>
  </w:num>
  <w:num w:numId="10" w16cid:durableId="1162819155">
    <w:abstractNumId w:val="6"/>
    <w:lvlOverride w:ilvl="0">
      <w:startOverride w:val="1"/>
    </w:lvlOverride>
    <w:lvlOverride w:ilvl="1">
      <w:startOverride w:val="2"/>
    </w:lvlOverride>
  </w:num>
  <w:num w:numId="11" w16cid:durableId="2016299957">
    <w:abstractNumId w:val="6"/>
    <w:lvlOverride w:ilvl="0">
      <w:startOverride w:val="1"/>
    </w:lvlOverride>
    <w:lvlOverride w:ilvl="1">
      <w:startOverride w:val="2"/>
    </w:lvlOverride>
  </w:num>
  <w:num w:numId="12" w16cid:durableId="801921774">
    <w:abstractNumId w:val="6"/>
    <w:lvlOverride w:ilvl="0">
      <w:startOverride w:val="1"/>
    </w:lvlOverride>
    <w:lvlOverride w:ilvl="1">
      <w:startOverride w:val="2"/>
    </w:lvlOverride>
  </w:num>
  <w:num w:numId="13" w16cid:durableId="1511530527">
    <w:abstractNumId w:val="9"/>
  </w:num>
  <w:num w:numId="14" w16cid:durableId="1058165705">
    <w:abstractNumId w:val="9"/>
    <w:lvlOverride w:ilvl="0">
      <w:startOverride w:val="1"/>
    </w:lvlOverride>
  </w:num>
  <w:num w:numId="15" w16cid:durableId="1758018231">
    <w:abstractNumId w:val="9"/>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74CCE"/>
    <w:rsid w:val="00075E24"/>
    <w:rsid w:val="000C2B3F"/>
    <w:rsid w:val="000C5F54"/>
    <w:rsid w:val="000E336E"/>
    <w:rsid w:val="00126B5F"/>
    <w:rsid w:val="001525E5"/>
    <w:rsid w:val="001E58CB"/>
    <w:rsid w:val="002020F9"/>
    <w:rsid w:val="00225706"/>
    <w:rsid w:val="002544B4"/>
    <w:rsid w:val="002863E1"/>
    <w:rsid w:val="002870C5"/>
    <w:rsid w:val="002E7C98"/>
    <w:rsid w:val="0030508E"/>
    <w:rsid w:val="003230B8"/>
    <w:rsid w:val="00326184"/>
    <w:rsid w:val="0036727B"/>
    <w:rsid w:val="003E087C"/>
    <w:rsid w:val="0042221F"/>
    <w:rsid w:val="00484418"/>
    <w:rsid w:val="004C5E68"/>
    <w:rsid w:val="004F7075"/>
    <w:rsid w:val="005466DD"/>
    <w:rsid w:val="00546EF8"/>
    <w:rsid w:val="00552D7D"/>
    <w:rsid w:val="00563C2E"/>
    <w:rsid w:val="00566450"/>
    <w:rsid w:val="00566BDA"/>
    <w:rsid w:val="00593DBA"/>
    <w:rsid w:val="005941FD"/>
    <w:rsid w:val="005E4378"/>
    <w:rsid w:val="005F0983"/>
    <w:rsid w:val="00624CAE"/>
    <w:rsid w:val="0062781F"/>
    <w:rsid w:val="00653AB4"/>
    <w:rsid w:val="00667F6C"/>
    <w:rsid w:val="00677448"/>
    <w:rsid w:val="006D05A4"/>
    <w:rsid w:val="006E2203"/>
    <w:rsid w:val="006E6684"/>
    <w:rsid w:val="00780465"/>
    <w:rsid w:val="007A379E"/>
    <w:rsid w:val="00834AAF"/>
    <w:rsid w:val="008D272E"/>
    <w:rsid w:val="008D33CB"/>
    <w:rsid w:val="00910954"/>
    <w:rsid w:val="00913774"/>
    <w:rsid w:val="00984F19"/>
    <w:rsid w:val="009B3DE1"/>
    <w:rsid w:val="00A05AB0"/>
    <w:rsid w:val="00A13493"/>
    <w:rsid w:val="00A7577F"/>
    <w:rsid w:val="00A87FD6"/>
    <w:rsid w:val="00AB5284"/>
    <w:rsid w:val="00AB6037"/>
    <w:rsid w:val="00AC4FFD"/>
    <w:rsid w:val="00AE0B07"/>
    <w:rsid w:val="00AF3034"/>
    <w:rsid w:val="00B10D7C"/>
    <w:rsid w:val="00B10DE0"/>
    <w:rsid w:val="00B16F50"/>
    <w:rsid w:val="00B25AB9"/>
    <w:rsid w:val="00B338CC"/>
    <w:rsid w:val="00B34910"/>
    <w:rsid w:val="00B37109"/>
    <w:rsid w:val="00B42117"/>
    <w:rsid w:val="00B5286C"/>
    <w:rsid w:val="00B630C8"/>
    <w:rsid w:val="00B75B22"/>
    <w:rsid w:val="00B8067C"/>
    <w:rsid w:val="00BD29B1"/>
    <w:rsid w:val="00BF4DAF"/>
    <w:rsid w:val="00BF7C89"/>
    <w:rsid w:val="00C239D7"/>
    <w:rsid w:val="00C44C02"/>
    <w:rsid w:val="00C83889"/>
    <w:rsid w:val="00C86C18"/>
    <w:rsid w:val="00CB7712"/>
    <w:rsid w:val="00CC447B"/>
    <w:rsid w:val="00CC5221"/>
    <w:rsid w:val="00D53B05"/>
    <w:rsid w:val="00D5574B"/>
    <w:rsid w:val="00D7312E"/>
    <w:rsid w:val="00D812F3"/>
    <w:rsid w:val="00DE3098"/>
    <w:rsid w:val="00E1314F"/>
    <w:rsid w:val="00E32DF8"/>
    <w:rsid w:val="00E57CBB"/>
    <w:rsid w:val="00E96BE2"/>
    <w:rsid w:val="00EB02FF"/>
    <w:rsid w:val="00EC652C"/>
    <w:rsid w:val="00ED4021"/>
    <w:rsid w:val="00F22A0B"/>
    <w:rsid w:val="00F472FA"/>
    <w:rsid w:val="00FD73FA"/>
    <w:rsid w:val="00FE671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5466DD"/>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6D05A4"/>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B338CC"/>
    <w:pPr>
      <w:keepNext/>
      <w:keepLines/>
      <w:numPr>
        <w:numId w:val="13"/>
      </w:numPr>
      <w:shd w:val="clear" w:color="auto" w:fill="FFFFFF"/>
      <w:spacing w:after="0" w:line="675" w:lineRule="atLeast"/>
      <w:textAlignment w:val="baseline"/>
      <w:outlineLvl w:val="2"/>
    </w:pPr>
    <w:rPr>
      <w:rFonts w:eastAsia="Times New Roman"/>
      <w:b/>
      <w:color w:val="2F5496" w:themeColor="accent1" w:themeShade="BF"/>
      <w:sz w:val="40"/>
      <w:szCs w:val="24"/>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0E336E"/>
    <w:pPr>
      <w:keepNext/>
      <w:keepLines/>
      <w:spacing w:before="280" w:after="240"/>
      <w:outlineLvl w:val="3"/>
    </w:pPr>
    <w:rPr>
      <w:rFonts w:eastAsiaTheme="majorEastAsia" w:cstheme="majorBidi"/>
      <w:iCs/>
      <w:szCs w:val="24"/>
      <w:bdr w:val="none" w:sz="0" w:space="0" w:color="auto" w:frame="1"/>
    </w:rPr>
  </w:style>
  <w:style w:type="paragraph" w:styleId="Titre5">
    <w:name w:val="heading 5"/>
    <w:aliases w:val="Titre 5 CGPC"/>
    <w:basedOn w:val="CGPC-elearning"/>
    <w:next w:val="Normal"/>
    <w:link w:val="Titre5Car"/>
    <w:autoRedefine/>
    <w:uiPriority w:val="9"/>
    <w:unhideWhenUsed/>
    <w:qFormat/>
    <w:rsid w:val="000E336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paragraph" w:styleId="Titre6">
    <w:name w:val="heading 6"/>
    <w:basedOn w:val="Normal"/>
    <w:next w:val="Normal"/>
    <w:link w:val="Titre6Car"/>
    <w:uiPriority w:val="9"/>
    <w:unhideWhenUsed/>
    <w:qFormat/>
    <w:rsid w:val="000E336E"/>
    <w:pPr>
      <w:keepNext/>
      <w:keepLines/>
      <w:spacing w:before="200" w:after="0"/>
      <w:outlineLvl w:val="5"/>
    </w:pPr>
    <w:rPr>
      <w:rFonts w:asciiTheme="majorHAnsi" w:eastAsiaTheme="majorEastAsia" w:hAnsiTheme="majorHAnsi" w:cstheme="majorBidi"/>
      <w:i/>
      <w:iCs/>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6D05A4"/>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6E2203"/>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6E2203"/>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B338CC"/>
    <w:rPr>
      <w:rFonts w:ascii="Open Sans" w:eastAsia="Times New Roman" w:hAnsi="Open Sans" w:cs="Open Sans"/>
      <w:b/>
      <w:bCs/>
      <w:color w:val="2F5496" w:themeColor="accent1" w:themeShade="BF"/>
      <w:sz w:val="40"/>
      <w:szCs w:val="24"/>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0E336E"/>
    <w:rPr>
      <w:rFonts w:ascii="Open Sans" w:eastAsiaTheme="majorEastAsia" w:hAnsi="Open Sans" w:cstheme="majorBidi"/>
      <w:bCs/>
      <w:iCs/>
      <w:sz w:val="24"/>
      <w:szCs w:val="24"/>
      <w:bdr w:val="none" w:sz="0" w:space="0" w:color="auto" w:frame="1"/>
    </w:rPr>
  </w:style>
  <w:style w:type="character" w:customStyle="1" w:styleId="Titre5Car">
    <w:name w:val="Titre 5 Car"/>
    <w:aliases w:val="Titre 5 CGPC Car"/>
    <w:basedOn w:val="Policepardfaut"/>
    <w:link w:val="Titre5"/>
    <w:uiPriority w:val="9"/>
    <w:rsid w:val="000E336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qFormat/>
    <w:rsid w:val="00B42117"/>
    <w:pPr>
      <w:spacing w:after="100"/>
      <w:ind w:left="240"/>
    </w:pPr>
  </w:style>
  <w:style w:type="paragraph" w:styleId="TM3">
    <w:name w:val="toc 3"/>
    <w:basedOn w:val="Normal"/>
    <w:next w:val="Normal"/>
    <w:autoRedefine/>
    <w:uiPriority w:val="39"/>
    <w:unhideWhenUsed/>
    <w:qFormat/>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qFormat/>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AF303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F3034"/>
    <w:rPr>
      <w:rFonts w:ascii="Tahoma" w:hAnsi="Tahoma" w:cs="Tahoma"/>
      <w:kern w:val="0"/>
      <w:sz w:val="16"/>
      <w:szCs w:val="16"/>
      <w14:ligatures w14:val="none"/>
    </w:rPr>
  </w:style>
  <w:style w:type="paragraph" w:styleId="TM4">
    <w:name w:val="toc 4"/>
    <w:basedOn w:val="Normal"/>
    <w:next w:val="Normal"/>
    <w:autoRedefine/>
    <w:uiPriority w:val="39"/>
    <w:unhideWhenUsed/>
    <w:rsid w:val="002544B4"/>
    <w:pPr>
      <w:spacing w:after="100"/>
      <w:ind w:left="720"/>
    </w:pPr>
  </w:style>
  <w:style w:type="character" w:customStyle="1" w:styleId="Titre6Car">
    <w:name w:val="Titre 6 Car"/>
    <w:basedOn w:val="Policepardfaut"/>
    <w:link w:val="Titre6"/>
    <w:uiPriority w:val="9"/>
    <w:rsid w:val="000E336E"/>
    <w:rPr>
      <w:rFonts w:asciiTheme="majorHAnsi" w:eastAsiaTheme="majorEastAsia" w:hAnsiTheme="majorHAnsi" w:cstheme="majorBidi"/>
      <w:i/>
      <w:iCs/>
      <w:color w:val="1F3763" w:themeColor="accent1" w:themeShade="7F"/>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www.legifrance.gouv.fr/affichCodeArticle.do?cidTexte=LEGITEXT000006070721&amp;idArticle=LEGIARTI000006435554&amp;dateTexte=&amp;categorieLien=cid"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estamento.fr/fr/infos-pratiques/testament-olographe/testament-olographe-redige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5951C7AB-29C9-4AE5-BC9C-A22C61E43E73}">
  <ds:schemaRefs>
    <ds:schemaRef ds:uri="http://schemas.microsoft.com/sharepoint/v3/contenttype/forms"/>
  </ds:schemaRefs>
</ds:datastoreItem>
</file>

<file path=customXml/itemProps2.xml><?xml version="1.0" encoding="utf-8"?>
<ds:datastoreItem xmlns:ds="http://schemas.openxmlformats.org/officeDocument/2006/customXml" ds:itemID="{CD519A04-D4C8-4AE6-8F4C-95D19B7794BF}">
  <ds:schemaRefs>
    <ds:schemaRef ds:uri="http://schemas.openxmlformats.org/officeDocument/2006/bibliography"/>
  </ds:schemaRefs>
</ds:datastoreItem>
</file>

<file path=customXml/itemProps3.xml><?xml version="1.0" encoding="utf-8"?>
<ds:datastoreItem xmlns:ds="http://schemas.openxmlformats.org/officeDocument/2006/customXml" ds:itemID="{243B14AD-C501-4C81-8654-248A93379A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0AEE34-EBC7-4695-A7F6-BB7FD3F80CDF}">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1604</Words>
  <Characters>8828</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DE FPSB</Company>
  <LinksUpToDate>false</LinksUpToDate>
  <CharactersWithSpaces>10412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De la protection du concubin</dc:title>
  <dc:subject/>
  <dc:creator>Renaud Duval</dc:creator>
  <cp:lastModifiedBy>Raymond Leban</cp:lastModifiedBy>
  <cp:revision>13</cp:revision>
  <cp:lastPrinted>2024-01-11T10:06:00Z</cp:lastPrinted>
  <dcterms:created xsi:type="dcterms:W3CDTF">2024-03-03T11:45:00Z</dcterms:created>
  <dcterms:modified xsi:type="dcterms:W3CDTF">2026-01-30T15:33:00Z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